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98" w:rsidRPr="00CF6198" w:rsidRDefault="00CF6198" w:rsidP="00CF6198">
      <w:pPr>
        <w:spacing w:after="0" w:line="270" w:lineRule="atLeast"/>
        <w:rPr>
          <w:rFonts w:ascii="Arial" w:eastAsia="Times New Roman" w:hAnsi="Arial" w:cs="Arial"/>
          <w:color w:val="000000"/>
          <w:sz w:val="18"/>
          <w:szCs w:val="18"/>
        </w:rPr>
      </w:pPr>
      <w:bookmarkStart w:id="0" w:name="_GoBack"/>
      <w:bookmarkEnd w:id="0"/>
      <w:r w:rsidRPr="00CF6198">
        <w:rPr>
          <w:rFonts w:ascii="Arial" w:eastAsia="Times New Roman" w:hAnsi="Arial" w:cs="Arial"/>
          <w:b/>
          <w:bCs/>
          <w:color w:val="000000"/>
          <w:sz w:val="18"/>
        </w:rPr>
        <w:t>NISSAN CASE STUDY:</w:t>
      </w:r>
    </w:p>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t> </w:t>
      </w:r>
    </w:p>
    <w:p w:rsidR="00CF6198" w:rsidRPr="00CF6198" w:rsidRDefault="00CF6198" w:rsidP="00CF6198">
      <w:pPr>
        <w:spacing w:after="0" w:line="193" w:lineRule="atLeast"/>
        <w:jc w:val="right"/>
        <w:rPr>
          <w:rFonts w:ascii="Times New Roman" w:eastAsia="Times New Roman" w:hAnsi="Times New Roman" w:cs="Times New Roman"/>
          <w:color w:val="000000"/>
          <w:sz w:val="24"/>
          <w:szCs w:val="24"/>
        </w:rPr>
      </w:pPr>
      <w:r w:rsidRPr="00CF6198">
        <w:rPr>
          <w:rFonts w:ascii="Arial" w:eastAsia="Times New Roman" w:hAnsi="Arial" w:cs="Arial"/>
          <w:b/>
          <w:bCs/>
          <w:color w:val="000000"/>
          <w:sz w:val="16"/>
        </w:rPr>
        <w:t> </w:t>
      </w:r>
    </w:p>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Arial" w:eastAsia="Times New Roman" w:hAnsi="Arial" w:cs="Arial"/>
          <w:b/>
          <w:bCs/>
          <w:color w:val="000000"/>
          <w:sz w:val="16"/>
        </w:rPr>
        <w:t> </w:t>
      </w:r>
    </w:p>
    <w:p w:rsidR="00CF6198" w:rsidRPr="00CF6198" w:rsidRDefault="00CF6198" w:rsidP="00CF6198">
      <w:pPr>
        <w:spacing w:after="0" w:line="193" w:lineRule="atLeast"/>
        <w:jc w:val="right"/>
        <w:rPr>
          <w:rFonts w:ascii="Times New Roman" w:eastAsia="Times New Roman" w:hAnsi="Times New Roman" w:cs="Times New Roman"/>
          <w:color w:val="000000"/>
          <w:sz w:val="24"/>
          <w:szCs w:val="24"/>
        </w:rPr>
      </w:pPr>
      <w:r w:rsidRPr="00CF6198">
        <w:rPr>
          <w:rFonts w:ascii="Arial" w:eastAsia="Times New Roman" w:hAnsi="Arial" w:cs="Arial"/>
          <w:b/>
          <w:bCs/>
          <w:color w:val="000000"/>
          <w:sz w:val="16"/>
        </w:rPr>
        <w:t> </w:t>
      </w:r>
    </w:p>
    <w:p w:rsidR="00CF6198" w:rsidRPr="00CF6198" w:rsidRDefault="00CF6198" w:rsidP="00CF6198">
      <w:pPr>
        <w:spacing w:after="0" w:line="193" w:lineRule="atLeast"/>
        <w:ind w:right="45"/>
        <w:jc w:val="right"/>
        <w:rPr>
          <w:rFonts w:ascii="Times New Roman" w:eastAsia="Times New Roman" w:hAnsi="Times New Roman" w:cs="Times New Roman"/>
          <w:color w:val="000000"/>
          <w:sz w:val="24"/>
          <w:szCs w:val="24"/>
        </w:rPr>
      </w:pPr>
      <w:r w:rsidRPr="00CF6198">
        <w:rPr>
          <w:rFonts w:ascii="Times New Roman" w:eastAsia="Times New Roman" w:hAnsi="Times New Roman" w:cs="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63.75pt;height:72.75pt;z-index:251658240;mso-wrap-distance-left:0;mso-wrap-distance-right:0;mso-position-horizontal:left;mso-position-vertical-relative:line" o:allowoverlap="f">
            <w10:wrap type="square"/>
          </v:shape>
        </w:pict>
      </w:r>
      <w:r w:rsidRPr="00CF6198">
        <w:rPr>
          <w:rFonts w:ascii="Arial" w:eastAsia="Times New Roman" w:hAnsi="Arial" w:cs="Arial"/>
          <w:b/>
          <w:bCs/>
          <w:color w:val="000000"/>
          <w:sz w:val="16"/>
        </w:rPr>
        <w:t>13-149</w:t>
      </w:r>
    </w:p>
    <w:p w:rsidR="00CF6198" w:rsidRPr="00CF6198" w:rsidRDefault="00CF6198" w:rsidP="00CF6198">
      <w:pPr>
        <w:spacing w:after="0" w:line="193" w:lineRule="atLeast"/>
        <w:ind w:right="45"/>
        <w:jc w:val="right"/>
        <w:rPr>
          <w:rFonts w:ascii="Times New Roman" w:eastAsia="Times New Roman" w:hAnsi="Times New Roman" w:cs="Times New Roman"/>
          <w:color w:val="000000"/>
          <w:sz w:val="24"/>
          <w:szCs w:val="24"/>
        </w:rPr>
      </w:pPr>
      <w:r w:rsidRPr="00CF6198">
        <w:rPr>
          <w:rFonts w:ascii="Arial" w:eastAsia="Times New Roman" w:hAnsi="Arial" w:cs="Arial"/>
          <w:color w:val="000000"/>
          <w:sz w:val="16"/>
          <w:szCs w:val="16"/>
        </w:rPr>
        <w:t>August 27, 2013</w:t>
      </w:r>
    </w:p>
    <w:p w:rsidR="00CF6198" w:rsidRPr="00CF6198" w:rsidRDefault="00CF6198" w:rsidP="00CF6198">
      <w:pPr>
        <w:spacing w:after="0" w:line="193" w:lineRule="atLeast"/>
        <w:ind w:left="-15"/>
        <w:rPr>
          <w:rFonts w:ascii="Times New Roman" w:eastAsia="Times New Roman" w:hAnsi="Times New Roman" w:cs="Times New Roman"/>
          <w:color w:val="000000"/>
          <w:sz w:val="24"/>
          <w:szCs w:val="24"/>
        </w:rPr>
      </w:pPr>
      <w:r w:rsidRPr="00CF6198">
        <w:rPr>
          <w:rFonts w:ascii="Arial" w:eastAsia="Times New Roman" w:hAnsi="Arial" w:cs="Arial"/>
          <w:b/>
          <w:bCs/>
          <w:color w:val="000000"/>
          <w:sz w:val="32"/>
        </w:rPr>
        <w:t>Nissan    Motor    Company    Ltd.:    Building     Operational</w:t>
      </w:r>
    </w:p>
    <w:p w:rsidR="00CF6198" w:rsidRPr="00CF6198" w:rsidRDefault="00CF6198" w:rsidP="00CF6198">
      <w:pPr>
        <w:spacing w:after="0" w:line="193" w:lineRule="atLeast"/>
        <w:ind w:left="-5"/>
        <w:rPr>
          <w:rFonts w:ascii="Times New Roman" w:eastAsia="Times New Roman" w:hAnsi="Times New Roman" w:cs="Times New Roman"/>
          <w:color w:val="000000"/>
          <w:sz w:val="24"/>
          <w:szCs w:val="24"/>
        </w:rPr>
      </w:pPr>
      <w:r w:rsidRPr="00CF6198">
        <w:rPr>
          <w:rFonts w:ascii="Arial" w:eastAsia="Times New Roman" w:hAnsi="Arial" w:cs="Arial"/>
          <w:b/>
          <w:bCs/>
          <w:color w:val="000000"/>
          <w:sz w:val="32"/>
        </w:rPr>
        <w:t>Resiliency </w:t>
      </w:r>
    </w:p>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Arial" w:eastAsia="Times New Roman" w:hAnsi="Arial" w:cs="Arial"/>
          <w:i/>
          <w:iCs/>
          <w:color w:val="000000"/>
          <w:sz w:val="24"/>
          <w:szCs w:val="24"/>
        </w:rPr>
        <w:t xml:space="preserve">William Schmidt, David </w:t>
      </w:r>
      <w:proofErr w:type="spellStart"/>
      <w:r w:rsidRPr="00CF6198">
        <w:rPr>
          <w:rFonts w:ascii="Arial" w:eastAsia="Times New Roman" w:hAnsi="Arial" w:cs="Arial"/>
          <w:i/>
          <w:iCs/>
          <w:color w:val="000000"/>
          <w:sz w:val="24"/>
          <w:szCs w:val="24"/>
        </w:rPr>
        <w:t>Simchi</w:t>
      </w:r>
      <w:proofErr w:type="spellEnd"/>
      <w:r w:rsidRPr="00CF6198">
        <w:rPr>
          <w:rFonts w:ascii="Arial" w:eastAsia="Times New Roman" w:hAnsi="Arial" w:cs="Arial"/>
          <w:i/>
          <w:iCs/>
          <w:color w:val="000000"/>
          <w:sz w:val="24"/>
          <w:szCs w:val="24"/>
        </w:rPr>
        <w:t>-Levi </w:t>
      </w:r>
    </w:p>
    <w:p w:rsidR="00CF6198" w:rsidRPr="00CF6198" w:rsidRDefault="00CF6198" w:rsidP="00CF6198">
      <w:pPr>
        <w:spacing w:after="0"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On March 11, 2011 a 9.0-magnitude earthquake, among the five most powerful on record, struck off the coast of Japan. Tsunami waves in excess of 40 meters high traveled up to 10 kilometers inland and three nuclear reactors at Fukushima Dai-</w:t>
      </w:r>
      <w:proofErr w:type="spellStart"/>
      <w:r w:rsidRPr="00CF6198">
        <w:rPr>
          <w:rFonts w:ascii="Times New Roman" w:eastAsia="Times New Roman" w:hAnsi="Times New Roman" w:cs="Times New Roman"/>
          <w:color w:val="000000"/>
          <w:sz w:val="24"/>
          <w:szCs w:val="24"/>
        </w:rPr>
        <w:t>ichi</w:t>
      </w:r>
      <w:proofErr w:type="spellEnd"/>
      <w:r w:rsidRPr="00CF6198">
        <w:rPr>
          <w:rFonts w:ascii="Times New Roman" w:eastAsia="Times New Roman" w:hAnsi="Times New Roman" w:cs="Times New Roman"/>
          <w:color w:val="000000"/>
          <w:sz w:val="24"/>
          <w:szCs w:val="24"/>
        </w:rPr>
        <w:t xml:space="preserve"> experienced Level 7 meltdowns. The impact of this combined disaster was devastating, with over 25,000 people dead, missing or injured.</w:t>
      </w:r>
      <w:r w:rsidRPr="00CF6198">
        <w:rPr>
          <w:rFonts w:ascii="Times New Roman" w:eastAsia="Times New Roman" w:hAnsi="Times New Roman" w:cs="Times New Roman"/>
          <w:color w:val="000000"/>
          <w:sz w:val="20"/>
          <w:szCs w:val="20"/>
          <w:vertAlign w:val="superscript"/>
        </w:rPr>
        <w:t>1</w:t>
      </w:r>
      <w:r w:rsidRPr="00CF6198">
        <w:rPr>
          <w:rFonts w:ascii="Times New Roman" w:eastAsia="Times New Roman" w:hAnsi="Times New Roman" w:cs="Times New Roman"/>
          <w:color w:val="000000"/>
          <w:sz w:val="24"/>
          <w:szCs w:val="24"/>
        </w:rPr>
        <w:t> Governments, non-government agencies, corporations and individuals in Japan and around the world responded with relief teams, supplies and donations to help ease the suffering and support the recovery.</w:t>
      </w:r>
      <w:r w:rsidRPr="00CF6198">
        <w:rPr>
          <w:rFonts w:ascii="Times New Roman" w:eastAsia="Times New Roman" w:hAnsi="Times New Roman" w:cs="Times New Roman"/>
          <w:color w:val="000000"/>
          <w:sz w:val="20"/>
          <w:szCs w:val="20"/>
          <w:vertAlign w:val="superscript"/>
        </w:rPr>
        <w:t>2</w:t>
      </w:r>
      <w:r w:rsidRPr="00CF6198">
        <w:rPr>
          <w:rFonts w:ascii="Times New Roman" w:eastAsia="Times New Roman" w:hAnsi="Times New Roman" w:cs="Times New Roman"/>
          <w:color w:val="000000"/>
          <w:sz w:val="24"/>
          <w:szCs w:val="24"/>
        </w:rPr>
        <w:t> In truth, the disaster was three calamities in one – an earthquake, a tsunami and a nuclear emergency. Recovering from such a catastrophe was unprecedented.</w:t>
      </w:r>
    </w:p>
    <w:p w:rsidR="00CF6198" w:rsidRPr="00CF6198" w:rsidRDefault="00CF6198" w:rsidP="00CF6198">
      <w:pPr>
        <w:spacing w:after="27"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0"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The event was not just a humanitarian crisis, but also a heavy blow to the Japanese economy: 125,000 buildings were damaged and economic costs were expected to be ¥16.9 trillion.</w:t>
      </w:r>
      <w:r w:rsidRPr="00CF6198">
        <w:rPr>
          <w:rFonts w:ascii="Times New Roman" w:eastAsia="Times New Roman" w:hAnsi="Times New Roman" w:cs="Times New Roman"/>
          <w:color w:val="000000"/>
          <w:sz w:val="20"/>
          <w:szCs w:val="20"/>
          <w:vertAlign w:val="superscript"/>
        </w:rPr>
        <w:t>3</w:t>
      </w:r>
      <w:r w:rsidRPr="00CF6198">
        <w:rPr>
          <w:rFonts w:ascii="Times New Roman" w:eastAsia="Times New Roman" w:hAnsi="Times New Roman" w:cs="Times New Roman"/>
          <w:color w:val="000000"/>
          <w:sz w:val="24"/>
          <w:szCs w:val="24"/>
        </w:rPr>
        <w:t> </w:t>
      </w:r>
      <w:proofErr w:type="gramStart"/>
      <w:r w:rsidRPr="00CF6198">
        <w:rPr>
          <w:rFonts w:ascii="Times New Roman" w:eastAsia="Times New Roman" w:hAnsi="Times New Roman" w:cs="Times New Roman"/>
          <w:color w:val="000000"/>
          <w:sz w:val="24"/>
          <w:szCs w:val="24"/>
        </w:rPr>
        <w:t>In</w:t>
      </w:r>
      <w:proofErr w:type="gramEnd"/>
      <w:r w:rsidRPr="00CF6198">
        <w:rPr>
          <w:rFonts w:ascii="Times New Roman" w:eastAsia="Times New Roman" w:hAnsi="Times New Roman" w:cs="Times New Roman"/>
          <w:color w:val="000000"/>
          <w:sz w:val="24"/>
          <w:szCs w:val="24"/>
        </w:rPr>
        <w:t xml:space="preserve"> the weeks following the disaster, approximately 80% of Japanese automotive plants suspended production and</w:t>
      </w:r>
    </w:p>
    <w:p w:rsidR="00CF6198" w:rsidRPr="00CF6198" w:rsidRDefault="00CF6198" w:rsidP="00CF6198">
      <w:pPr>
        <w:spacing w:after="0"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Mitsubishi UFJ Morgan Stanley Securities estimated utilization at other plants were below 10%.</w:t>
      </w:r>
      <w:r w:rsidRPr="00CF6198">
        <w:rPr>
          <w:rFonts w:ascii="Times New Roman" w:eastAsia="Times New Roman" w:hAnsi="Times New Roman" w:cs="Times New Roman"/>
          <w:color w:val="000000"/>
          <w:sz w:val="20"/>
          <w:szCs w:val="20"/>
          <w:vertAlign w:val="superscript"/>
        </w:rPr>
        <w:t>4</w:t>
      </w:r>
    </w:p>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strike/>
          <w:color w:val="000000"/>
          <w:sz w:val="24"/>
          <w:szCs w:val="24"/>
        </w:rPr>
        <w:t>                                                     </w:t>
      </w:r>
      <w:r w:rsidRPr="00CF6198">
        <w:rPr>
          <w:rFonts w:ascii="Times New Roman" w:eastAsia="Times New Roman" w:hAnsi="Times New Roman" w:cs="Times New Roman"/>
          <w:color w:val="000000"/>
          <w:sz w:val="24"/>
          <w:szCs w:val="24"/>
        </w:rPr>
        <w:t> </w:t>
      </w:r>
    </w:p>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14"/>
          <w:szCs w:val="14"/>
          <w:vertAlign w:val="superscript"/>
        </w:rPr>
        <w:t>1                      </w:t>
      </w:r>
      <w:r w:rsidRPr="00CF6198">
        <w:rPr>
          <w:rFonts w:ascii="Times New Roman" w:eastAsia="Times New Roman" w:hAnsi="Times New Roman" w:cs="Times New Roman"/>
          <w:color w:val="000000"/>
          <w:sz w:val="14"/>
          <w:vertAlign w:val="superscript"/>
        </w:rPr>
        <w:t> </w:t>
      </w:r>
      <w:r w:rsidRPr="00CF6198">
        <w:rPr>
          <w:rFonts w:ascii="Times New Roman" w:eastAsia="Times New Roman" w:hAnsi="Times New Roman" w:cs="Times New Roman"/>
          <w:color w:val="000000"/>
          <w:sz w:val="14"/>
          <w:szCs w:val="14"/>
        </w:rPr>
        <w:t>Ministry of Foreign Affairs, Government of Japan,</w:t>
      </w:r>
      <w:r w:rsidRPr="00CF6198">
        <w:rPr>
          <w:rFonts w:ascii="Times New Roman" w:eastAsia="Times New Roman" w:hAnsi="Times New Roman" w:cs="Times New Roman"/>
          <w:color w:val="000000"/>
          <w:sz w:val="14"/>
        </w:rPr>
        <w:t> </w:t>
      </w:r>
      <w:r w:rsidRPr="00CF6198">
        <w:rPr>
          <w:rFonts w:ascii="Times New Roman" w:eastAsia="Times New Roman" w:hAnsi="Times New Roman" w:cs="Times New Roman"/>
          <w:color w:val="0000FF"/>
          <w:sz w:val="14"/>
          <w:szCs w:val="14"/>
          <w:u w:val="single"/>
        </w:rPr>
        <w:t>http://www.mofa.go.jp/j_info/visit/incidents/index2.html</w:t>
      </w:r>
      <w:r w:rsidRPr="00CF6198">
        <w:rPr>
          <w:rFonts w:ascii="Times New Roman" w:eastAsia="Times New Roman" w:hAnsi="Times New Roman" w:cs="Times New Roman"/>
          <w:color w:val="000000"/>
          <w:sz w:val="14"/>
          <w:szCs w:val="14"/>
        </w:rPr>
        <w:t>, accessed July 15, 2012.</w:t>
      </w:r>
    </w:p>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14"/>
          <w:szCs w:val="14"/>
          <w:vertAlign w:val="superscript"/>
        </w:rPr>
        <w:t>2                      </w:t>
      </w:r>
      <w:r w:rsidRPr="00CF6198">
        <w:rPr>
          <w:rFonts w:ascii="Times New Roman" w:eastAsia="Times New Roman" w:hAnsi="Times New Roman" w:cs="Times New Roman"/>
          <w:color w:val="000000"/>
          <w:sz w:val="14"/>
          <w:vertAlign w:val="superscript"/>
        </w:rPr>
        <w:t> </w:t>
      </w:r>
      <w:r w:rsidRPr="00CF6198">
        <w:rPr>
          <w:rFonts w:ascii="Times New Roman" w:eastAsia="Times New Roman" w:hAnsi="Times New Roman" w:cs="Times New Roman"/>
          <w:color w:val="000000"/>
          <w:sz w:val="14"/>
          <w:szCs w:val="14"/>
        </w:rPr>
        <w:t>Ministry of Foreign Affairs, Government of Japan,</w:t>
      </w:r>
      <w:r w:rsidRPr="00CF6198">
        <w:rPr>
          <w:rFonts w:ascii="Times New Roman" w:eastAsia="Times New Roman" w:hAnsi="Times New Roman" w:cs="Times New Roman"/>
          <w:color w:val="000000"/>
          <w:sz w:val="14"/>
        </w:rPr>
        <w:t> </w:t>
      </w:r>
      <w:r w:rsidRPr="00CF6198">
        <w:rPr>
          <w:rFonts w:ascii="Times New Roman" w:eastAsia="Times New Roman" w:hAnsi="Times New Roman" w:cs="Times New Roman"/>
          <w:color w:val="0000FF"/>
          <w:sz w:val="14"/>
          <w:szCs w:val="14"/>
          <w:u w:val="single"/>
        </w:rPr>
        <w:t>http://www.mofa.go.jp/j_info/visit/incidents/pdfs/r_goods.pdf</w:t>
      </w:r>
      <w:r w:rsidRPr="00CF6198">
        <w:rPr>
          <w:rFonts w:ascii="Times New Roman" w:eastAsia="Times New Roman" w:hAnsi="Times New Roman" w:cs="Times New Roman"/>
          <w:color w:val="000000"/>
          <w:sz w:val="14"/>
          <w:szCs w:val="14"/>
        </w:rPr>
        <w:t>, accessed July 15, 2012.</w:t>
      </w:r>
    </w:p>
    <w:p w:rsidR="00CF6198" w:rsidRPr="00CF6198" w:rsidRDefault="00CF6198" w:rsidP="00CF6198">
      <w:pPr>
        <w:spacing w:after="0" w:line="270"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14"/>
          <w:szCs w:val="14"/>
          <w:vertAlign w:val="superscript"/>
        </w:rPr>
        <w:t>3                      </w:t>
      </w:r>
      <w:r w:rsidRPr="00CF6198">
        <w:rPr>
          <w:rFonts w:ascii="Times New Roman" w:eastAsia="Times New Roman" w:hAnsi="Times New Roman" w:cs="Times New Roman"/>
          <w:color w:val="000000"/>
          <w:sz w:val="14"/>
          <w:vertAlign w:val="superscript"/>
        </w:rPr>
        <w:t> </w:t>
      </w:r>
      <w:r w:rsidRPr="00CF6198">
        <w:rPr>
          <w:rFonts w:ascii="Times New Roman" w:eastAsia="Times New Roman" w:hAnsi="Times New Roman" w:cs="Times New Roman"/>
          <w:color w:val="000000"/>
          <w:sz w:val="14"/>
          <w:szCs w:val="14"/>
        </w:rPr>
        <w:t>Ministry of Economy, Trade and Industry, Government of Japan,</w:t>
      </w:r>
      <w:r w:rsidRPr="00CF6198">
        <w:rPr>
          <w:rFonts w:ascii="Times New Roman" w:eastAsia="Times New Roman" w:hAnsi="Times New Roman" w:cs="Times New Roman"/>
          <w:color w:val="0000FF"/>
          <w:sz w:val="14"/>
          <w:szCs w:val="14"/>
          <w:u w:val="single"/>
        </w:rPr>
        <w:t>http://www.kantei.go.jp/foreign/policy/documents/2012/__icsFiles/afieldfile/2012/03/07/road_to_recovery.pdf</w:t>
      </w:r>
      <w:r w:rsidRPr="00CF6198">
        <w:rPr>
          <w:rFonts w:ascii="Times New Roman" w:eastAsia="Times New Roman" w:hAnsi="Times New Roman" w:cs="Times New Roman"/>
          <w:color w:val="000000"/>
          <w:sz w:val="14"/>
          <w:szCs w:val="14"/>
        </w:rPr>
        <w:t>, accessed February 27, 2012.</w:t>
      </w:r>
    </w:p>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14"/>
          <w:szCs w:val="14"/>
          <w:vertAlign w:val="superscript"/>
        </w:rPr>
        <w:t>4                      </w:t>
      </w:r>
      <w:r w:rsidRPr="00CF6198">
        <w:rPr>
          <w:rFonts w:ascii="Times New Roman" w:eastAsia="Times New Roman" w:hAnsi="Times New Roman" w:cs="Times New Roman"/>
          <w:color w:val="000000"/>
          <w:sz w:val="14"/>
          <w:vertAlign w:val="superscript"/>
        </w:rPr>
        <w:t> </w:t>
      </w:r>
      <w:r w:rsidRPr="00CF6198">
        <w:rPr>
          <w:rFonts w:ascii="Times New Roman" w:eastAsia="Times New Roman" w:hAnsi="Times New Roman" w:cs="Times New Roman"/>
          <w:color w:val="000000"/>
          <w:sz w:val="14"/>
          <w:szCs w:val="14"/>
        </w:rPr>
        <w:t xml:space="preserve">Tsuyoshi </w:t>
      </w:r>
      <w:proofErr w:type="spellStart"/>
      <w:r w:rsidRPr="00CF6198">
        <w:rPr>
          <w:rFonts w:ascii="Times New Roman" w:eastAsia="Times New Roman" w:hAnsi="Times New Roman" w:cs="Times New Roman"/>
          <w:color w:val="000000"/>
          <w:sz w:val="14"/>
          <w:szCs w:val="14"/>
        </w:rPr>
        <w:t>Mochimaru</w:t>
      </w:r>
      <w:proofErr w:type="spellEnd"/>
      <w:r w:rsidRPr="00CF6198">
        <w:rPr>
          <w:rFonts w:ascii="Times New Roman" w:eastAsia="Times New Roman" w:hAnsi="Times New Roman" w:cs="Times New Roman"/>
          <w:color w:val="000000"/>
          <w:sz w:val="14"/>
          <w:szCs w:val="14"/>
        </w:rPr>
        <w:t>, “Auto sector: Our Stance in Wake of Recent Earthquake,”</w:t>
      </w:r>
      <w:r w:rsidRPr="00CF6198">
        <w:rPr>
          <w:rFonts w:ascii="Times New Roman" w:eastAsia="Times New Roman" w:hAnsi="Times New Roman" w:cs="Times New Roman"/>
          <w:color w:val="000000"/>
          <w:sz w:val="14"/>
        </w:rPr>
        <w:t> </w:t>
      </w:r>
      <w:r w:rsidRPr="00CF6198">
        <w:rPr>
          <w:rFonts w:ascii="Times New Roman" w:eastAsia="Times New Roman" w:hAnsi="Times New Roman" w:cs="Times New Roman"/>
          <w:i/>
          <w:iCs/>
          <w:color w:val="000000"/>
          <w:sz w:val="14"/>
        </w:rPr>
        <w:t>Mitsubishi UFJ Morgan Stanley Securities Co., Ltd.</w:t>
      </w:r>
      <w:r w:rsidRPr="00CF6198">
        <w:rPr>
          <w:rFonts w:ascii="Times New Roman" w:eastAsia="Times New Roman" w:hAnsi="Times New Roman" w:cs="Times New Roman"/>
          <w:color w:val="000000"/>
          <w:sz w:val="14"/>
          <w:szCs w:val="14"/>
        </w:rPr>
        <w:t>, April 12, 2011.</w:t>
      </w:r>
    </w:p>
    <w:p w:rsidR="00CF6198" w:rsidRPr="00CF6198" w:rsidRDefault="00CF6198" w:rsidP="00CF6198">
      <w:pPr>
        <w:spacing w:after="63" w:line="193" w:lineRule="atLeast"/>
        <w:ind w:left="-29"/>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pict>
          <v:shape id="_x0000_i1025" type="#_x0000_t75" alt="" style="width:453pt;height:.75pt"/>
        </w:pict>
      </w:r>
    </w:p>
    <w:p w:rsidR="00CF6198" w:rsidRPr="00CF6198" w:rsidRDefault="00CF6198" w:rsidP="00CF6198">
      <w:pPr>
        <w:spacing w:after="0" w:line="184" w:lineRule="atLeast"/>
        <w:ind w:left="-5"/>
        <w:rPr>
          <w:rFonts w:ascii="Times New Roman" w:eastAsia="Times New Roman" w:hAnsi="Times New Roman" w:cs="Times New Roman"/>
          <w:color w:val="000000"/>
          <w:sz w:val="24"/>
          <w:szCs w:val="24"/>
        </w:rPr>
      </w:pPr>
      <w:r w:rsidRPr="00CF6198">
        <w:rPr>
          <w:rFonts w:ascii="Arial" w:eastAsia="Times New Roman" w:hAnsi="Arial" w:cs="Arial"/>
          <w:color w:val="000000"/>
          <w:sz w:val="16"/>
          <w:szCs w:val="16"/>
        </w:rPr>
        <w:t xml:space="preserve">This case was prepared by David </w:t>
      </w:r>
      <w:proofErr w:type="spellStart"/>
      <w:r w:rsidRPr="00CF6198">
        <w:rPr>
          <w:rFonts w:ascii="Arial" w:eastAsia="Times New Roman" w:hAnsi="Arial" w:cs="Arial"/>
          <w:color w:val="000000"/>
          <w:sz w:val="16"/>
          <w:szCs w:val="16"/>
        </w:rPr>
        <w:t>Simchi</w:t>
      </w:r>
      <w:proofErr w:type="spellEnd"/>
      <w:r w:rsidRPr="00CF6198">
        <w:rPr>
          <w:rFonts w:ascii="Arial" w:eastAsia="Times New Roman" w:hAnsi="Arial" w:cs="Arial"/>
          <w:color w:val="000000"/>
          <w:sz w:val="16"/>
          <w:szCs w:val="16"/>
        </w:rPr>
        <w:t xml:space="preserve">-Levi, MIT Professor of Civil and </w:t>
      </w:r>
      <w:proofErr w:type="spellStart"/>
      <w:r w:rsidRPr="00CF6198">
        <w:rPr>
          <w:rFonts w:ascii="Arial" w:eastAsia="Times New Roman" w:hAnsi="Arial" w:cs="Arial"/>
          <w:color w:val="000000"/>
          <w:sz w:val="16"/>
          <w:szCs w:val="16"/>
        </w:rPr>
        <w:t>Enviornmental</w:t>
      </w:r>
      <w:proofErr w:type="spellEnd"/>
      <w:r w:rsidRPr="00CF6198">
        <w:rPr>
          <w:rFonts w:ascii="Arial" w:eastAsia="Times New Roman" w:hAnsi="Arial" w:cs="Arial"/>
          <w:color w:val="000000"/>
          <w:sz w:val="16"/>
          <w:szCs w:val="16"/>
        </w:rPr>
        <w:t xml:space="preserve"> Engineering and Engineering Systems and Co-Director, Leaders for Global Operations, and William Schmidt, PhD candidate, Harvard Business School. </w:t>
      </w:r>
    </w:p>
    <w:p w:rsidR="00CF6198" w:rsidRPr="00CF6198" w:rsidRDefault="00CF6198" w:rsidP="00CF6198">
      <w:pPr>
        <w:spacing w:after="0" w:line="184" w:lineRule="atLeast"/>
        <w:ind w:left="-5"/>
        <w:rPr>
          <w:rFonts w:ascii="Times New Roman" w:eastAsia="Times New Roman" w:hAnsi="Times New Roman" w:cs="Times New Roman"/>
          <w:color w:val="000000"/>
          <w:sz w:val="24"/>
          <w:szCs w:val="24"/>
        </w:rPr>
      </w:pPr>
      <w:proofErr w:type="gramStart"/>
      <w:r w:rsidRPr="00CF6198">
        <w:rPr>
          <w:rFonts w:ascii="Arial" w:eastAsia="Times New Roman" w:hAnsi="Arial" w:cs="Arial"/>
          <w:color w:val="000000"/>
          <w:sz w:val="16"/>
          <w:szCs w:val="16"/>
        </w:rPr>
        <w:t xml:space="preserve">Copyright © 2013, David </w:t>
      </w:r>
      <w:proofErr w:type="spellStart"/>
      <w:r w:rsidRPr="00CF6198">
        <w:rPr>
          <w:rFonts w:ascii="Arial" w:eastAsia="Times New Roman" w:hAnsi="Arial" w:cs="Arial"/>
          <w:color w:val="000000"/>
          <w:sz w:val="16"/>
          <w:szCs w:val="16"/>
        </w:rPr>
        <w:t>Simchi</w:t>
      </w:r>
      <w:proofErr w:type="spellEnd"/>
      <w:r w:rsidRPr="00CF6198">
        <w:rPr>
          <w:rFonts w:ascii="Arial" w:eastAsia="Times New Roman" w:hAnsi="Arial" w:cs="Arial"/>
          <w:color w:val="000000"/>
          <w:sz w:val="16"/>
          <w:szCs w:val="16"/>
        </w:rPr>
        <w:t>-Levi and William Schmidt.</w:t>
      </w:r>
      <w:proofErr w:type="gramEnd"/>
      <w:r w:rsidRPr="00CF6198">
        <w:rPr>
          <w:rFonts w:ascii="Arial" w:eastAsia="Times New Roman" w:hAnsi="Arial" w:cs="Arial"/>
          <w:color w:val="000000"/>
          <w:sz w:val="16"/>
          <w:szCs w:val="16"/>
        </w:rPr>
        <w:t xml:space="preserve"> This work is licensed under the Creative Commons </w:t>
      </w:r>
      <w:proofErr w:type="spellStart"/>
      <w:r w:rsidRPr="00CF6198">
        <w:rPr>
          <w:rFonts w:ascii="Arial" w:eastAsia="Times New Roman" w:hAnsi="Arial" w:cs="Arial"/>
          <w:color w:val="000000"/>
          <w:sz w:val="16"/>
          <w:szCs w:val="16"/>
        </w:rPr>
        <w:t>AttributionNoncommercial</w:t>
      </w:r>
      <w:proofErr w:type="spellEnd"/>
      <w:r w:rsidRPr="00CF6198">
        <w:rPr>
          <w:rFonts w:ascii="Arial" w:eastAsia="Times New Roman" w:hAnsi="Arial" w:cs="Arial"/>
          <w:color w:val="000000"/>
          <w:sz w:val="16"/>
          <w:szCs w:val="16"/>
        </w:rPr>
        <w:t xml:space="preserve">-No Derivative Works 3.0 </w:t>
      </w:r>
      <w:proofErr w:type="spellStart"/>
      <w:r w:rsidRPr="00CF6198">
        <w:rPr>
          <w:rFonts w:ascii="Arial" w:eastAsia="Times New Roman" w:hAnsi="Arial" w:cs="Arial"/>
          <w:color w:val="000000"/>
          <w:sz w:val="16"/>
          <w:szCs w:val="16"/>
        </w:rPr>
        <w:t>Unported</w:t>
      </w:r>
      <w:proofErr w:type="spellEnd"/>
      <w:r w:rsidRPr="00CF6198">
        <w:rPr>
          <w:rFonts w:ascii="Arial" w:eastAsia="Times New Roman" w:hAnsi="Arial" w:cs="Arial"/>
          <w:color w:val="000000"/>
          <w:sz w:val="16"/>
          <w:szCs w:val="16"/>
        </w:rPr>
        <w:t xml:space="preserve"> License. To view a copy of this license visit</w:t>
      </w:r>
      <w:r w:rsidRPr="00CF6198">
        <w:rPr>
          <w:rFonts w:ascii="Arial" w:eastAsia="Times New Roman" w:hAnsi="Arial" w:cs="Arial"/>
          <w:color w:val="0000FF"/>
          <w:sz w:val="16"/>
          <w:szCs w:val="16"/>
          <w:u w:val="single"/>
        </w:rPr>
        <w:t>http://creativecommons.org/licenses/by-nc-nd/3.0/</w:t>
      </w:r>
      <w:r w:rsidRPr="00CF6198">
        <w:rPr>
          <w:rFonts w:ascii="Arial" w:eastAsia="Times New Roman" w:hAnsi="Arial" w:cs="Arial"/>
          <w:color w:val="000000"/>
          <w:sz w:val="16"/>
        </w:rPr>
        <w:t> </w:t>
      </w:r>
      <w:r w:rsidRPr="00CF6198">
        <w:rPr>
          <w:rFonts w:ascii="Arial" w:eastAsia="Times New Roman" w:hAnsi="Arial" w:cs="Arial"/>
          <w:color w:val="000000"/>
          <w:sz w:val="16"/>
          <w:szCs w:val="16"/>
        </w:rPr>
        <w:t>or send a letter to Creative Commons, 171 Second Street, Suite 300, San Francisco, California, 94105, USA.</w:t>
      </w:r>
    </w:p>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Arial" w:eastAsia="Times New Roman" w:hAnsi="Arial" w:cs="Arial"/>
          <w:color w:val="000000"/>
          <w:sz w:val="16"/>
          <w:szCs w:val="16"/>
        </w:rPr>
        <w:t> </w:t>
      </w:r>
    </w:p>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Arial" w:eastAsia="Times New Roman" w:hAnsi="Arial" w:cs="Arial"/>
          <w:color w:val="000000"/>
          <w:sz w:val="16"/>
          <w:szCs w:val="16"/>
        </w:rPr>
        <w:t> </w:t>
      </w:r>
    </w:p>
    <w:p w:rsidR="00CF6198" w:rsidRPr="00CF6198" w:rsidRDefault="00CF6198" w:rsidP="00CF6198">
      <w:pPr>
        <w:spacing w:after="3"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Across the industry, monthly production dropped nearly 60% in March and April 2011 compared to</w:t>
      </w:r>
    </w:p>
    <w:p w:rsidR="00CF6198" w:rsidRPr="00CF6198" w:rsidRDefault="00CF6198" w:rsidP="00CF6198">
      <w:pPr>
        <w:spacing w:after="0"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2010, and did not fully recover until October.</w:t>
      </w:r>
      <w:bookmarkStart w:id="1" w:name="_ftnref1"/>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"_ftn1"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[1]</w:t>
      </w:r>
      <w:r w:rsidRPr="00CF6198">
        <w:rPr>
          <w:rFonts w:ascii="Times New Roman" w:eastAsia="Times New Roman" w:hAnsi="Times New Roman" w:cs="Times New Roman"/>
          <w:color w:val="000000"/>
          <w:sz w:val="24"/>
          <w:szCs w:val="24"/>
        </w:rPr>
        <w:fldChar w:fldCharType="end"/>
      </w:r>
      <w:bookmarkEnd w:id="1"/>
      <w:r w:rsidRPr="00CF6198">
        <w:rPr>
          <w:rFonts w:ascii="Times New Roman" w:eastAsia="Times New Roman" w:hAnsi="Times New Roman" w:cs="Times New Roman"/>
          <w:color w:val="000000"/>
          <w:sz w:val="24"/>
          <w:szCs w:val="24"/>
        </w:rPr>
        <w:t> Production for all of 2011 was down 9%.</w:t>
      </w:r>
      <w:bookmarkStart w:id="2" w:name="_ftnref2"/>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"_ftn2"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[2]</w:t>
      </w:r>
      <w:r w:rsidRPr="00CF6198">
        <w:rPr>
          <w:rFonts w:ascii="Times New Roman" w:eastAsia="Times New Roman" w:hAnsi="Times New Roman" w:cs="Times New Roman"/>
          <w:color w:val="000000"/>
          <w:sz w:val="24"/>
          <w:szCs w:val="24"/>
        </w:rPr>
        <w:fldChar w:fldCharType="end"/>
      </w:r>
      <w:bookmarkEnd w:id="2"/>
      <w:r w:rsidRPr="00CF6198">
        <w:rPr>
          <w:rFonts w:ascii="Times New Roman" w:eastAsia="Times New Roman" w:hAnsi="Times New Roman" w:cs="Times New Roman"/>
          <w:color w:val="000000"/>
          <w:sz w:val="24"/>
          <w:szCs w:val="24"/>
        </w:rPr>
        <w:t> </w:t>
      </w:r>
    </w:p>
    <w:p w:rsidR="00CF6198" w:rsidRPr="00CF6198" w:rsidRDefault="00CF6198" w:rsidP="00CF6198">
      <w:pPr>
        <w:spacing w:after="32"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0"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Markets outside of Japan were affected as well. Toyota, Honda and Nissan, the three major Japanese automotive original equipment manufacturers (OEM), exported a significant amount of their Japanese production to serve foreign markets (</w:t>
      </w:r>
      <w:r w:rsidRPr="00CF6198">
        <w:rPr>
          <w:rFonts w:ascii="Times New Roman" w:eastAsia="Times New Roman" w:hAnsi="Times New Roman" w:cs="Times New Roman"/>
          <w:b/>
          <w:bCs/>
          <w:color w:val="000000"/>
          <w:sz w:val="24"/>
          <w:szCs w:val="24"/>
        </w:rPr>
        <w:t>Exhibit 1</w:t>
      </w:r>
      <w:r w:rsidRPr="00CF6198">
        <w:rPr>
          <w:rFonts w:ascii="Times New Roman" w:eastAsia="Times New Roman" w:hAnsi="Times New Roman" w:cs="Times New Roman"/>
          <w:color w:val="000000"/>
          <w:sz w:val="24"/>
          <w:szCs w:val="24"/>
        </w:rPr>
        <w:t xml:space="preserve">). Declines in Japanese production impacted product availability in those export markets. In addition, overseas production had expanded in recent years, but only 70% - 80% of the production components were sourced </w:t>
      </w:r>
      <w:r w:rsidRPr="00CF6198">
        <w:rPr>
          <w:rFonts w:ascii="Times New Roman" w:eastAsia="Times New Roman" w:hAnsi="Times New Roman" w:cs="Times New Roman"/>
          <w:color w:val="000000"/>
          <w:sz w:val="24"/>
          <w:szCs w:val="24"/>
        </w:rPr>
        <w:lastRenderedPageBreak/>
        <w:t>locally with the remaining 20% coming from Japan.</w:t>
      </w:r>
      <w:r w:rsidRPr="00CF6198">
        <w:rPr>
          <w:rFonts w:ascii="Times New Roman" w:eastAsia="Times New Roman" w:hAnsi="Times New Roman" w:cs="Times New Roman"/>
          <w:color w:val="000000"/>
          <w:sz w:val="20"/>
          <w:szCs w:val="20"/>
          <w:vertAlign w:val="superscript"/>
        </w:rPr>
        <w:t>7</w:t>
      </w:r>
      <w:r w:rsidRPr="00CF6198">
        <w:rPr>
          <w:rFonts w:ascii="Times New Roman" w:eastAsia="Times New Roman" w:hAnsi="Times New Roman" w:cs="Times New Roman"/>
          <w:color w:val="000000"/>
          <w:sz w:val="24"/>
          <w:szCs w:val="24"/>
        </w:rPr>
        <w:t> Disruption to the Japanese supply base affected firms and factories around the world.</w:t>
      </w:r>
    </w:p>
    <w:p w:rsidR="00CF6198" w:rsidRPr="00CF6198" w:rsidRDefault="00CF6198" w:rsidP="00CF6198">
      <w:pPr>
        <w:spacing w:after="32"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233"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Toyota, Honda and Nissan were all impacted by the disaster (</w:t>
      </w:r>
      <w:r w:rsidRPr="00CF6198">
        <w:rPr>
          <w:rFonts w:ascii="Times New Roman" w:eastAsia="Times New Roman" w:hAnsi="Times New Roman" w:cs="Times New Roman"/>
          <w:b/>
          <w:bCs/>
          <w:color w:val="000000"/>
          <w:sz w:val="24"/>
          <w:szCs w:val="24"/>
        </w:rPr>
        <w:t>Exhibit 2</w:t>
      </w:r>
      <w:r w:rsidRPr="00CF6198">
        <w:rPr>
          <w:rFonts w:ascii="Times New Roman" w:eastAsia="Times New Roman" w:hAnsi="Times New Roman" w:cs="Times New Roman"/>
          <w:color w:val="000000"/>
          <w:sz w:val="24"/>
          <w:szCs w:val="24"/>
        </w:rPr>
        <w:t>). In particular, Nissan suffered damage to six production facilities and about 50 of its critical suppliers were impaired. Nevertheless, the company was prepared to withstand the shocks.</w:t>
      </w:r>
    </w:p>
    <w:p w:rsidR="00CF6198" w:rsidRPr="00CF6198" w:rsidRDefault="00CF6198" w:rsidP="00CF6198">
      <w:pPr>
        <w:spacing w:after="120" w:line="270" w:lineRule="atLeast"/>
        <w:ind w:left="-5"/>
        <w:outlineLvl w:val="0"/>
        <w:rPr>
          <w:rFonts w:ascii="Arial" w:eastAsia="Times New Roman" w:hAnsi="Arial" w:cs="Arial"/>
          <w:b/>
          <w:bCs/>
          <w:color w:val="777777"/>
          <w:kern w:val="36"/>
          <w:sz w:val="32"/>
          <w:szCs w:val="32"/>
        </w:rPr>
      </w:pPr>
      <w:r w:rsidRPr="00CF6198">
        <w:rPr>
          <w:rFonts w:ascii="Arial" w:eastAsia="Times New Roman" w:hAnsi="Arial" w:cs="Arial"/>
          <w:b/>
          <w:bCs/>
          <w:color w:val="777777"/>
          <w:kern w:val="36"/>
          <w:sz w:val="32"/>
          <w:szCs w:val="32"/>
        </w:rPr>
        <w:t>History of the Japanese Automotive Industry</w:t>
      </w:r>
    </w:p>
    <w:p w:rsidR="00CF6198" w:rsidRPr="00CF6198" w:rsidRDefault="00CF6198" w:rsidP="00CF6198">
      <w:pPr>
        <w:spacing w:after="0"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Prior to the 1930’s the domestic automobile manufacturing capability in Japan was essentially limited to military-sponsored initiatives, hand-built models and imported automotive kits.</w:t>
      </w:r>
      <w:bookmarkStart w:id="3" w:name="_ftnref3"/>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"_ftn3"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[3]</w:t>
      </w:r>
      <w:r w:rsidRPr="00CF6198">
        <w:rPr>
          <w:rFonts w:ascii="Times New Roman" w:eastAsia="Times New Roman" w:hAnsi="Times New Roman" w:cs="Times New Roman"/>
          <w:color w:val="000000"/>
          <w:sz w:val="24"/>
          <w:szCs w:val="24"/>
        </w:rPr>
        <w:fldChar w:fldCharType="end"/>
      </w:r>
      <w:bookmarkEnd w:id="3"/>
      <w:r w:rsidRPr="00CF6198">
        <w:rPr>
          <w:rFonts w:ascii="Times New Roman" w:eastAsia="Times New Roman" w:hAnsi="Times New Roman" w:cs="Times New Roman"/>
          <w:color w:val="000000"/>
          <w:sz w:val="24"/>
          <w:szCs w:val="24"/>
        </w:rPr>
        <w:t xml:space="preserve"> The industry’s nascent steps toward mass production started in 1933 when </w:t>
      </w:r>
      <w:proofErr w:type="spellStart"/>
      <w:r w:rsidRPr="00CF6198">
        <w:rPr>
          <w:rFonts w:ascii="Times New Roman" w:eastAsia="Times New Roman" w:hAnsi="Times New Roman" w:cs="Times New Roman"/>
          <w:color w:val="000000"/>
          <w:sz w:val="24"/>
          <w:szCs w:val="24"/>
        </w:rPr>
        <w:t>Aikawa</w:t>
      </w:r>
      <w:proofErr w:type="spellEnd"/>
      <w:r w:rsidRPr="00CF6198">
        <w:rPr>
          <w:rFonts w:ascii="Times New Roman" w:eastAsia="Times New Roman" w:hAnsi="Times New Roman" w:cs="Times New Roman"/>
          <w:color w:val="000000"/>
          <w:sz w:val="24"/>
          <w:szCs w:val="24"/>
        </w:rPr>
        <w:t xml:space="preserve"> </w:t>
      </w:r>
      <w:proofErr w:type="spellStart"/>
      <w:r w:rsidRPr="00CF6198">
        <w:rPr>
          <w:rFonts w:ascii="Times New Roman" w:eastAsia="Times New Roman" w:hAnsi="Times New Roman" w:cs="Times New Roman"/>
          <w:color w:val="000000"/>
          <w:sz w:val="24"/>
          <w:szCs w:val="24"/>
        </w:rPr>
        <w:t>Yoshisuke</w:t>
      </w:r>
      <w:proofErr w:type="spellEnd"/>
      <w:r w:rsidRPr="00CF6198">
        <w:rPr>
          <w:rFonts w:ascii="Times New Roman" w:eastAsia="Times New Roman" w:hAnsi="Times New Roman" w:cs="Times New Roman"/>
          <w:color w:val="000000"/>
          <w:sz w:val="24"/>
          <w:szCs w:val="24"/>
        </w:rPr>
        <w:t xml:space="preserve"> established </w:t>
      </w:r>
      <w:proofErr w:type="spellStart"/>
      <w:r w:rsidRPr="00CF6198">
        <w:rPr>
          <w:rFonts w:ascii="Times New Roman" w:eastAsia="Times New Roman" w:hAnsi="Times New Roman" w:cs="Times New Roman"/>
          <w:color w:val="000000"/>
          <w:sz w:val="24"/>
          <w:szCs w:val="24"/>
        </w:rPr>
        <w:t>Jidosha</w:t>
      </w:r>
      <w:proofErr w:type="spellEnd"/>
      <w:r w:rsidRPr="00CF6198">
        <w:rPr>
          <w:rFonts w:ascii="Times New Roman" w:eastAsia="Times New Roman" w:hAnsi="Times New Roman" w:cs="Times New Roman"/>
          <w:color w:val="000000"/>
          <w:sz w:val="24"/>
          <w:szCs w:val="24"/>
        </w:rPr>
        <w:t xml:space="preserve"> Seizo Company, the predecessor of Nissan Motor Company.</w:t>
      </w:r>
      <w:bookmarkStart w:id="4" w:name="_ftnref4"/>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"_ftn4"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[4]</w:t>
      </w:r>
      <w:r w:rsidRPr="00CF6198">
        <w:rPr>
          <w:rFonts w:ascii="Times New Roman" w:eastAsia="Times New Roman" w:hAnsi="Times New Roman" w:cs="Times New Roman"/>
          <w:color w:val="000000"/>
          <w:sz w:val="24"/>
          <w:szCs w:val="24"/>
        </w:rPr>
        <w:fldChar w:fldCharType="end"/>
      </w:r>
      <w:bookmarkEnd w:id="4"/>
      <w:r w:rsidRPr="00CF6198">
        <w:rPr>
          <w:rFonts w:ascii="Times New Roman" w:eastAsia="Times New Roman" w:hAnsi="Times New Roman" w:cs="Times New Roman"/>
          <w:color w:val="000000"/>
          <w:sz w:val="24"/>
          <w:szCs w:val="24"/>
        </w:rPr>
        <w:t xml:space="preserve"> Around the same time, Toyoda </w:t>
      </w:r>
      <w:proofErr w:type="spellStart"/>
      <w:r w:rsidRPr="00CF6198">
        <w:rPr>
          <w:rFonts w:ascii="Times New Roman" w:eastAsia="Times New Roman" w:hAnsi="Times New Roman" w:cs="Times New Roman"/>
          <w:color w:val="000000"/>
          <w:sz w:val="24"/>
          <w:szCs w:val="24"/>
        </w:rPr>
        <w:t>Kiichirō</w:t>
      </w:r>
      <w:proofErr w:type="spellEnd"/>
      <w:r w:rsidRPr="00CF6198">
        <w:rPr>
          <w:rFonts w:ascii="Times New Roman" w:eastAsia="Times New Roman" w:hAnsi="Times New Roman" w:cs="Times New Roman"/>
          <w:color w:val="000000"/>
          <w:sz w:val="24"/>
          <w:szCs w:val="24"/>
        </w:rPr>
        <w:t xml:space="preserve"> established an automobile department within Toyoda Automatic Loom, which would eventually grow into Toyota Motor Company.</w:t>
      </w:r>
      <w:bookmarkStart w:id="5" w:name="_ftnref5"/>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"_ftn5"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[5]</w:t>
      </w:r>
      <w:r w:rsidRPr="00CF6198">
        <w:rPr>
          <w:rFonts w:ascii="Times New Roman" w:eastAsia="Times New Roman" w:hAnsi="Times New Roman" w:cs="Times New Roman"/>
          <w:color w:val="000000"/>
          <w:sz w:val="24"/>
          <w:szCs w:val="24"/>
        </w:rPr>
        <w:fldChar w:fldCharType="end"/>
      </w:r>
      <w:bookmarkEnd w:id="5"/>
      <w:r w:rsidRPr="00CF6198">
        <w:rPr>
          <w:rFonts w:ascii="Times New Roman" w:eastAsia="Times New Roman" w:hAnsi="Times New Roman" w:cs="Times New Roman"/>
          <w:color w:val="000000"/>
          <w:sz w:val="24"/>
          <w:szCs w:val="24"/>
        </w:rPr>
        <w:t> In spite of protectionist government policies restricting imports and direct foreign investment, prior to World War II the Japanese subsidiaries of Ford and General Motors dominated the automobile industry in Japan. After the war, Nissan and Toyota were hobbled by low production productivity and were at risk of slipping into bankruptcy if not for a combination of huge governmental loans and special orders from the United States Army during the Korean War.</w:t>
      </w:r>
      <w:bookmarkStart w:id="6" w:name="_ftnref6"/>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"_ftn6"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[6]</w:t>
      </w:r>
      <w:r w:rsidRPr="00CF6198">
        <w:rPr>
          <w:rFonts w:ascii="Times New Roman" w:eastAsia="Times New Roman" w:hAnsi="Times New Roman" w:cs="Times New Roman"/>
          <w:color w:val="000000"/>
          <w:sz w:val="24"/>
          <w:szCs w:val="24"/>
        </w:rPr>
        <w:fldChar w:fldCharType="end"/>
      </w:r>
      <w:bookmarkEnd w:id="6"/>
    </w:p>
    <w:p w:rsidR="00CF6198" w:rsidRPr="00CF6198" w:rsidRDefault="00CF6198" w:rsidP="00CF6198">
      <w:pPr>
        <w:spacing w:after="27"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0"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Japanese automotive firms initially relied heavily on technology transfer from the United States and Europe. Toyota was more aggressive in developing internal research and development capabilities, a strategy eventually adopted by other Japanese automobile manufacturers.</w:t>
      </w:r>
      <w:bookmarkStart w:id="7" w:name="_ftnref7"/>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"_ftn7"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[7]</w:t>
      </w:r>
      <w:r w:rsidRPr="00CF6198">
        <w:rPr>
          <w:rFonts w:ascii="Times New Roman" w:eastAsia="Times New Roman" w:hAnsi="Times New Roman" w:cs="Times New Roman"/>
          <w:color w:val="000000"/>
          <w:sz w:val="24"/>
          <w:szCs w:val="24"/>
        </w:rPr>
        <w:fldChar w:fldCharType="end"/>
      </w:r>
      <w:bookmarkEnd w:id="7"/>
      <w:r w:rsidRPr="00CF6198">
        <w:rPr>
          <w:rFonts w:ascii="Times New Roman" w:eastAsia="Times New Roman" w:hAnsi="Times New Roman" w:cs="Times New Roman"/>
          <w:color w:val="000000"/>
          <w:sz w:val="24"/>
          <w:szCs w:val="24"/>
        </w:rPr>
        <w:t> Japanese automotive manufacturers also concentrated on process improvements, with Toyota being an early innovator. In the late 1940’s through the early 1960’s, Toyota transitioned away from push manufacturing techniques that were ubiquitous in the United States automobile industry. The firm reduced buffer stocks and instead adopted the principles of just-in-time manufacturing. Raw materials and work-</w:t>
      </w:r>
      <w:proofErr w:type="spellStart"/>
      <w:r w:rsidRPr="00CF6198">
        <w:rPr>
          <w:rFonts w:ascii="Times New Roman" w:eastAsia="Times New Roman" w:hAnsi="Times New Roman" w:cs="Times New Roman"/>
          <w:color w:val="000000"/>
          <w:sz w:val="24"/>
          <w:szCs w:val="24"/>
        </w:rPr>
        <w:t>inprocess</w:t>
      </w:r>
      <w:proofErr w:type="spellEnd"/>
      <w:r w:rsidRPr="00CF6198">
        <w:rPr>
          <w:rFonts w:ascii="Times New Roman" w:eastAsia="Times New Roman" w:hAnsi="Times New Roman" w:cs="Times New Roman"/>
          <w:color w:val="000000"/>
          <w:sz w:val="24"/>
          <w:szCs w:val="24"/>
        </w:rPr>
        <w:t xml:space="preserve"> were no longer pushed from early production stages to final assembly, but were instead pulled forward only when needed. Components were produced and received in lots as small as possible, with no stockpiling and Toyota modified its equipment to allow for rapid set-up so it could be quickly transitioned to different jobs.</w:t>
      </w:r>
      <w:bookmarkStart w:id="8" w:name="_ftnref8"/>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"_ftn8"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[8]</w:t>
      </w:r>
      <w:r w:rsidRPr="00CF6198">
        <w:rPr>
          <w:rFonts w:ascii="Times New Roman" w:eastAsia="Times New Roman" w:hAnsi="Times New Roman" w:cs="Times New Roman"/>
          <w:color w:val="000000"/>
          <w:sz w:val="24"/>
          <w:szCs w:val="24"/>
        </w:rPr>
        <w:fldChar w:fldCharType="end"/>
      </w:r>
      <w:bookmarkEnd w:id="8"/>
      <w:r w:rsidRPr="00CF6198">
        <w:rPr>
          <w:rFonts w:ascii="Times New Roman" w:eastAsia="Times New Roman" w:hAnsi="Times New Roman" w:cs="Times New Roman"/>
          <w:color w:val="000000"/>
          <w:sz w:val="24"/>
          <w:szCs w:val="24"/>
        </w:rPr>
        <w:t> </w:t>
      </w:r>
    </w:p>
    <w:p w:rsidR="00CF6198" w:rsidRPr="00CF6198" w:rsidRDefault="00CF6198" w:rsidP="00CF6198">
      <w:pPr>
        <w:spacing w:after="27"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3"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The manufacturing principles pioneered by Toyota were also adopted, in varying degrees, by other manufacturers inside Japan and globally. Toyota remained at the vanguard of refining and formalizing these principles into what would eventually be known as the Toyota Production System (TPS). TPS required close coordination across manufacturing processes and helped identify problems that could otherwise go unnoticed in a system with a larger buffer. The system, however, was not risk free. If something disturbed the flow of information or material, it could idle manufacturing stages downstream of the disturbance. </w:t>
      </w:r>
    </w:p>
    <w:p w:rsidR="00CF6198" w:rsidRPr="00CF6198" w:rsidRDefault="00CF6198" w:rsidP="00CF6198">
      <w:pPr>
        <w:spacing w:after="27"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0"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The Japanese automotive industry began to hit its stride. By the late 1960’s, both Toyota and Nissan had rapidly increased both their production and exports. By the late 1970’s, exports accounted for over 50% of Japanese production and by 1980 Japan overtook the United States as the world’s top automobile producing country.</w:t>
      </w:r>
      <w:bookmarkStart w:id="9" w:name="_ftnref9"/>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"_ftn9"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[9</w:t>
      </w:r>
      <w:proofErr w:type="gramStart"/>
      <w:r w:rsidRPr="00CF6198">
        <w:rPr>
          <w:rFonts w:ascii="Times New Roman" w:eastAsia="Times New Roman" w:hAnsi="Times New Roman" w:cs="Times New Roman"/>
          <w:color w:val="000000"/>
          <w:sz w:val="20"/>
          <w:u w:val="single"/>
          <w:vertAlign w:val="superscript"/>
        </w:rPr>
        <w:t>]</w:t>
      </w:r>
      <w:proofErr w:type="gramEnd"/>
      <w:r w:rsidRPr="00CF6198">
        <w:rPr>
          <w:rFonts w:ascii="Times New Roman" w:eastAsia="Times New Roman" w:hAnsi="Times New Roman" w:cs="Times New Roman"/>
          <w:color w:val="000000"/>
          <w:sz w:val="24"/>
          <w:szCs w:val="24"/>
        </w:rPr>
        <w:fldChar w:fldCharType="end"/>
      </w:r>
      <w:bookmarkEnd w:id="9"/>
      <w:r w:rsidRPr="00CF6198">
        <w:rPr>
          <w:rFonts w:ascii="Times New Roman" w:eastAsia="Times New Roman" w:hAnsi="Times New Roman" w:cs="Times New Roman"/>
          <w:color w:val="000000"/>
          <w:sz w:val="24"/>
          <w:szCs w:val="24"/>
        </w:rPr>
        <w:t xml:space="preserve">Japanese automobile companies began building </w:t>
      </w:r>
      <w:r w:rsidRPr="00CF6198">
        <w:rPr>
          <w:rFonts w:ascii="Times New Roman" w:eastAsia="Times New Roman" w:hAnsi="Times New Roman" w:cs="Times New Roman"/>
          <w:color w:val="000000"/>
          <w:sz w:val="24"/>
          <w:szCs w:val="24"/>
        </w:rPr>
        <w:lastRenderedPageBreak/>
        <w:t>manufacturing facilities in North America, with Honda, Nissan and Toyota moving first and Mazda, Mitsubishi, Suzuki, and Isuzu eventually following. The rapid appreciation of the yen after agreements made at the G-5 meeting in September 1985 led to further expansion of foreign production in both advanced and developing countries.</w:t>
      </w:r>
      <w:bookmarkStart w:id="10" w:name="_ftnref10"/>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"_ftn10"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[10]</w:t>
      </w:r>
      <w:r w:rsidRPr="00CF6198">
        <w:rPr>
          <w:rFonts w:ascii="Times New Roman" w:eastAsia="Times New Roman" w:hAnsi="Times New Roman" w:cs="Times New Roman"/>
          <w:color w:val="000000"/>
          <w:sz w:val="24"/>
          <w:szCs w:val="24"/>
        </w:rPr>
        <w:fldChar w:fldCharType="end"/>
      </w:r>
      <w:bookmarkEnd w:id="10"/>
      <w:r w:rsidRPr="00CF6198">
        <w:rPr>
          <w:rFonts w:ascii="Times New Roman" w:eastAsia="Times New Roman" w:hAnsi="Times New Roman" w:cs="Times New Roman"/>
          <w:color w:val="000000"/>
          <w:sz w:val="24"/>
          <w:szCs w:val="24"/>
        </w:rPr>
        <w:t> The three largest Japanese firms globalized their operations at different paces, however, with Honda and Nissan expanding their foreign manufacturing footprint much more aggressively than Toyota.</w:t>
      </w:r>
      <w:r w:rsidRPr="00CF6198">
        <w:rPr>
          <w:rFonts w:ascii="Times New Roman" w:eastAsia="Times New Roman" w:hAnsi="Times New Roman" w:cs="Times New Roman"/>
          <w:color w:val="000000"/>
          <w:sz w:val="20"/>
          <w:szCs w:val="20"/>
          <w:vertAlign w:val="superscript"/>
        </w:rPr>
        <w:t>16</w:t>
      </w:r>
    </w:p>
    <w:p w:rsidR="00CF6198" w:rsidRPr="00CF6198" w:rsidRDefault="00CF6198" w:rsidP="00CF6198">
      <w:pPr>
        <w:spacing w:after="120" w:line="270" w:lineRule="atLeast"/>
        <w:ind w:left="-5"/>
        <w:outlineLvl w:val="0"/>
        <w:rPr>
          <w:rFonts w:ascii="Arial" w:eastAsia="Times New Roman" w:hAnsi="Arial" w:cs="Arial"/>
          <w:b/>
          <w:bCs/>
          <w:color w:val="777777"/>
          <w:kern w:val="36"/>
          <w:sz w:val="32"/>
          <w:szCs w:val="32"/>
        </w:rPr>
      </w:pPr>
      <w:r w:rsidRPr="00CF6198">
        <w:rPr>
          <w:rFonts w:ascii="Arial" w:eastAsia="Times New Roman" w:hAnsi="Arial" w:cs="Arial"/>
          <w:b/>
          <w:bCs/>
          <w:color w:val="777777"/>
          <w:kern w:val="36"/>
          <w:sz w:val="32"/>
          <w:szCs w:val="32"/>
        </w:rPr>
        <w:t>Nissan’s Supply Chain Philosophy:</w:t>
      </w:r>
      <w:proofErr w:type="gramStart"/>
      <w:r w:rsidRPr="00CF6198">
        <w:rPr>
          <w:rFonts w:ascii="Arial" w:eastAsia="Times New Roman" w:hAnsi="Arial" w:cs="Arial"/>
          <w:b/>
          <w:bCs/>
          <w:color w:val="777777"/>
          <w:kern w:val="36"/>
          <w:sz w:val="32"/>
          <w:szCs w:val="32"/>
        </w:rPr>
        <w:t>  A</w:t>
      </w:r>
      <w:proofErr w:type="gramEnd"/>
      <w:r w:rsidRPr="00CF6198">
        <w:rPr>
          <w:rFonts w:ascii="Arial" w:eastAsia="Times New Roman" w:hAnsi="Arial" w:cs="Arial"/>
          <w:b/>
          <w:bCs/>
          <w:color w:val="777777"/>
          <w:kern w:val="36"/>
          <w:sz w:val="32"/>
          <w:szCs w:val="32"/>
        </w:rPr>
        <w:t xml:space="preserve"> Focus on Flexibility</w:t>
      </w:r>
    </w:p>
    <w:p w:rsidR="00CF6198" w:rsidRPr="00CF6198" w:rsidRDefault="00CF6198" w:rsidP="00CF6198">
      <w:pPr>
        <w:spacing w:after="1524"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In contrast to the close supply chain control that is a hallmark of TPS, Nissan leveraged a regional, decentralized supply chain structure, but imposed strong central control and coordination when crises affecting global operations occurred. Maintaining a flexible organization and integrating a variety of perspectives were important cultural attributes at the company. As an indication of the way the firm embraced diversity, Nissan’s corporate officers represented a range of nationalities and most of them had extensive experience in overseas operations – traits that were not shared by other Japanese</w:t>
      </w:r>
    </w:p>
    <w:p w:rsidR="00CF6198" w:rsidRPr="00CF6198" w:rsidRDefault="00CF6198" w:rsidP="00CF6198">
      <w:pPr>
        <w:spacing w:after="0" w:line="193" w:lineRule="atLeast"/>
        <w:ind w:left="-5"/>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9"/>
          <w:szCs w:val="9"/>
        </w:rPr>
        <w:t>16</w:t>
      </w:r>
    </w:p>
    <w:p w:rsidR="00CF6198" w:rsidRPr="00CF6198" w:rsidRDefault="00CF6198" w:rsidP="00CF6198">
      <w:pPr>
        <w:spacing w:after="0" w:line="270" w:lineRule="atLeast"/>
        <w:ind w:left="-5" w:right="31"/>
        <w:rPr>
          <w:rFonts w:ascii="Times New Roman" w:eastAsia="Times New Roman" w:hAnsi="Times New Roman" w:cs="Times New Roman"/>
          <w:color w:val="000000"/>
          <w:sz w:val="24"/>
          <w:szCs w:val="24"/>
        </w:rPr>
      </w:pPr>
      <w:proofErr w:type="gramStart"/>
      <w:r w:rsidRPr="00CF6198">
        <w:rPr>
          <w:rFonts w:ascii="Times New Roman" w:eastAsia="Times New Roman" w:hAnsi="Times New Roman" w:cs="Times New Roman"/>
          <w:color w:val="000000"/>
          <w:sz w:val="24"/>
          <w:szCs w:val="24"/>
        </w:rPr>
        <w:t>OEM’s.</w:t>
      </w:r>
      <w:bookmarkStart w:id="11" w:name="_ftnref11"/>
      <w:proofErr w:type="gramEnd"/>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"_ftn11"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[11]</w:t>
      </w:r>
      <w:r w:rsidRPr="00CF6198">
        <w:rPr>
          <w:rFonts w:ascii="Times New Roman" w:eastAsia="Times New Roman" w:hAnsi="Times New Roman" w:cs="Times New Roman"/>
          <w:color w:val="000000"/>
          <w:sz w:val="24"/>
          <w:szCs w:val="24"/>
        </w:rPr>
        <w:fldChar w:fldCharType="end"/>
      </w:r>
      <w:bookmarkEnd w:id="11"/>
      <w:r w:rsidRPr="00CF6198">
        <w:rPr>
          <w:rFonts w:ascii="Times New Roman" w:eastAsia="Times New Roman" w:hAnsi="Times New Roman" w:cs="Times New Roman"/>
          <w:color w:val="000000"/>
          <w:sz w:val="24"/>
          <w:szCs w:val="24"/>
        </w:rPr>
        <w:t> Nissan considered this diversity to be a source of strength in managing a large global operation and it valued that the executive team could speak first-hand to the unique constraints and opportunities that were present in each market.</w:t>
      </w:r>
      <w:bookmarkStart w:id="12" w:name="_ftnref12"/>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"_ftn12"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[12]</w:t>
      </w:r>
      <w:r w:rsidRPr="00CF6198">
        <w:rPr>
          <w:rFonts w:ascii="Times New Roman" w:eastAsia="Times New Roman" w:hAnsi="Times New Roman" w:cs="Times New Roman"/>
          <w:color w:val="000000"/>
          <w:sz w:val="24"/>
          <w:szCs w:val="24"/>
        </w:rPr>
        <w:fldChar w:fldCharType="end"/>
      </w:r>
      <w:bookmarkEnd w:id="12"/>
      <w:r w:rsidRPr="00CF6198">
        <w:rPr>
          <w:rFonts w:ascii="Times New Roman" w:eastAsia="Times New Roman" w:hAnsi="Times New Roman" w:cs="Times New Roman"/>
          <w:color w:val="000000"/>
          <w:sz w:val="24"/>
          <w:szCs w:val="24"/>
        </w:rPr>
        <w:t> </w:t>
      </w:r>
    </w:p>
    <w:p w:rsidR="00CF6198" w:rsidRPr="00CF6198" w:rsidRDefault="00CF6198" w:rsidP="00CF6198">
      <w:pPr>
        <w:spacing w:after="27"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0"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Complementing this focus on flexibility, Nissan maintained a simplified product line compared to its competitors. The company adopted a build-to-stock strategy for just a few SKUs in each model and a build-to-order strategy for the rest. Management believed that this strategy had not only helped it to simplify its operations and product offerings, but it actually contributed to a significant increase in sales. As explained by John Martin</w:t>
      </w:r>
      <w:proofErr w:type="gramStart"/>
      <w:r w:rsidRPr="00CF6198">
        <w:rPr>
          <w:rFonts w:ascii="Times New Roman" w:eastAsia="Times New Roman" w:hAnsi="Times New Roman" w:cs="Times New Roman"/>
          <w:color w:val="000000"/>
          <w:sz w:val="24"/>
          <w:szCs w:val="24"/>
        </w:rPr>
        <w:t>,</w:t>
      </w:r>
      <w:bookmarkStart w:id="13" w:name="_ftnref13"/>
      <w:proofErr w:type="gramEnd"/>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"_ftn13"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[13]</w:t>
      </w:r>
      <w:r w:rsidRPr="00CF6198">
        <w:rPr>
          <w:rFonts w:ascii="Times New Roman" w:eastAsia="Times New Roman" w:hAnsi="Times New Roman" w:cs="Times New Roman"/>
          <w:color w:val="000000"/>
          <w:sz w:val="24"/>
          <w:szCs w:val="24"/>
        </w:rPr>
        <w:fldChar w:fldCharType="end"/>
      </w:r>
      <w:bookmarkEnd w:id="13"/>
      <w:r w:rsidRPr="00CF6198">
        <w:rPr>
          <w:rFonts w:ascii="Times New Roman" w:eastAsia="Times New Roman" w:hAnsi="Times New Roman" w:cs="Times New Roman"/>
          <w:color w:val="000000"/>
          <w:sz w:val="24"/>
          <w:szCs w:val="24"/>
        </w:rPr>
        <w:t> the company’s SVP of manufacturing, purchasing and supply chain management: </w:t>
      </w:r>
    </w:p>
    <w:p w:rsidR="00CF6198" w:rsidRPr="00CF6198" w:rsidRDefault="00CF6198" w:rsidP="00CF6198">
      <w:pPr>
        <w:spacing w:after="32"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233" w:line="270" w:lineRule="atLeast"/>
        <w:ind w:left="370"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xml:space="preserve">Nissan was a company reborn from crisis. In 1999 Nissan was rescued from impending bankruptcy by Renault who put in place a revitalized management team led by Carlos </w:t>
      </w:r>
      <w:proofErr w:type="spellStart"/>
      <w:r w:rsidRPr="00CF6198">
        <w:rPr>
          <w:rFonts w:ascii="Times New Roman" w:eastAsia="Times New Roman" w:hAnsi="Times New Roman" w:cs="Times New Roman"/>
          <w:color w:val="000000"/>
          <w:sz w:val="24"/>
          <w:szCs w:val="24"/>
        </w:rPr>
        <w:t>Ghosn</w:t>
      </w:r>
      <w:proofErr w:type="spellEnd"/>
      <w:r w:rsidRPr="00CF6198">
        <w:rPr>
          <w:rFonts w:ascii="Times New Roman" w:eastAsia="Times New Roman" w:hAnsi="Times New Roman" w:cs="Times New Roman"/>
          <w:color w:val="000000"/>
          <w:sz w:val="24"/>
          <w:szCs w:val="24"/>
        </w:rPr>
        <w:t>. This sense of crisis persists in the organization to this day. This ‘crisis mentality’ was critical to our recovery from the 2007/2008 Global Liquidity Crisis, the Great Japan Earthquake and subsequent Thai Floods in 2011. Our supply chain philosophy is one of vigilance and extreme responsiveness allied with single point responsibility. It is the supply chain management organization’s responsibility to keep the production plants running. This clarity of purpose and responsibility engenders confidence and decisiveness both of which are crucial to disaster recovery.</w:t>
      </w:r>
    </w:p>
    <w:p w:rsidR="00CF6198" w:rsidRPr="00CF6198" w:rsidRDefault="00CF6198" w:rsidP="00CF6198">
      <w:pPr>
        <w:spacing w:after="120" w:line="270" w:lineRule="atLeast"/>
        <w:ind w:left="-5"/>
        <w:outlineLvl w:val="0"/>
        <w:rPr>
          <w:rFonts w:ascii="Arial" w:eastAsia="Times New Roman" w:hAnsi="Arial" w:cs="Arial"/>
          <w:b/>
          <w:bCs/>
          <w:color w:val="777777"/>
          <w:kern w:val="36"/>
          <w:sz w:val="32"/>
          <w:szCs w:val="32"/>
        </w:rPr>
      </w:pPr>
      <w:r w:rsidRPr="00CF6198">
        <w:rPr>
          <w:rFonts w:ascii="Arial" w:eastAsia="Times New Roman" w:hAnsi="Arial" w:cs="Arial"/>
          <w:b/>
          <w:bCs/>
          <w:color w:val="777777"/>
          <w:kern w:val="36"/>
          <w:sz w:val="32"/>
          <w:szCs w:val="32"/>
        </w:rPr>
        <w:t>Risk Management at Nissan </w:t>
      </w:r>
    </w:p>
    <w:p w:rsidR="00CF6198" w:rsidRPr="00CF6198" w:rsidRDefault="00CF6198" w:rsidP="00CF6198">
      <w:pPr>
        <w:spacing w:after="0"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xml:space="preserve">Nissan’s attitudes toward risk and emergency response emerged through the company’s experience in overcoming daunting challenges. In 1999 the company faced severe financial difficulties that were only resolved when it formed an alliance with Renault. Under the terms of </w:t>
      </w:r>
      <w:r w:rsidRPr="00CF6198">
        <w:rPr>
          <w:rFonts w:ascii="Times New Roman" w:eastAsia="Times New Roman" w:hAnsi="Times New Roman" w:cs="Times New Roman"/>
          <w:color w:val="000000"/>
          <w:sz w:val="24"/>
          <w:szCs w:val="24"/>
        </w:rPr>
        <w:lastRenderedPageBreak/>
        <w:t>the alliance, Renault bought 36.8% of Nissan’s outstanding stock and Nissan agreed to buy into Renault when it was financially able to do so.</w:t>
      </w:r>
      <w:bookmarkStart w:id="14" w:name="_ftnref14"/>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"_ftn14"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[14]</w:t>
      </w:r>
      <w:r w:rsidRPr="00CF6198">
        <w:rPr>
          <w:rFonts w:ascii="Times New Roman" w:eastAsia="Times New Roman" w:hAnsi="Times New Roman" w:cs="Times New Roman"/>
          <w:color w:val="000000"/>
          <w:sz w:val="24"/>
          <w:szCs w:val="24"/>
        </w:rPr>
        <w:fldChar w:fldCharType="end"/>
      </w:r>
      <w:bookmarkEnd w:id="14"/>
      <w:r w:rsidRPr="00CF6198">
        <w:rPr>
          <w:rFonts w:ascii="Times New Roman" w:eastAsia="Times New Roman" w:hAnsi="Times New Roman" w:cs="Times New Roman"/>
          <w:color w:val="000000"/>
          <w:sz w:val="24"/>
          <w:szCs w:val="24"/>
        </w:rPr>
        <w:t> This deal forced Nissan to confront entrenched practices and biases and to take proactive action to ensure the company’s survival and ultimate success. (See </w:t>
      </w:r>
      <w:r w:rsidRPr="00CF6198">
        <w:rPr>
          <w:rFonts w:ascii="Times New Roman" w:eastAsia="Times New Roman" w:hAnsi="Times New Roman" w:cs="Times New Roman"/>
          <w:b/>
          <w:bCs/>
          <w:color w:val="000000"/>
          <w:sz w:val="24"/>
          <w:szCs w:val="24"/>
        </w:rPr>
        <w:t>Exhibit 3</w:t>
      </w:r>
      <w:r w:rsidRPr="00CF6198">
        <w:rPr>
          <w:rFonts w:ascii="Times New Roman" w:eastAsia="Times New Roman" w:hAnsi="Times New Roman" w:cs="Times New Roman"/>
          <w:color w:val="000000"/>
          <w:sz w:val="24"/>
          <w:szCs w:val="24"/>
        </w:rPr>
        <w:t> for financial performance.)</w:t>
      </w:r>
    </w:p>
    <w:p w:rsidR="00CF6198" w:rsidRPr="00CF6198" w:rsidRDefault="00CF6198" w:rsidP="00CF6198">
      <w:pPr>
        <w:spacing w:after="32"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0"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xml:space="preserve">Nissan’s risk management philosophy was born out of its near-death experience. It focused on identifying and analyzing risks as early as </w:t>
      </w:r>
      <w:proofErr w:type="gramStart"/>
      <w:r w:rsidRPr="00CF6198">
        <w:rPr>
          <w:rFonts w:ascii="Times New Roman" w:eastAsia="Times New Roman" w:hAnsi="Times New Roman" w:cs="Times New Roman"/>
          <w:color w:val="000000"/>
          <w:sz w:val="24"/>
          <w:szCs w:val="24"/>
        </w:rPr>
        <w:t>possible,</w:t>
      </w:r>
      <w:proofErr w:type="gramEnd"/>
      <w:r w:rsidRPr="00CF6198">
        <w:rPr>
          <w:rFonts w:ascii="Times New Roman" w:eastAsia="Times New Roman" w:hAnsi="Times New Roman" w:cs="Times New Roman"/>
          <w:color w:val="000000"/>
          <w:sz w:val="24"/>
          <w:szCs w:val="24"/>
        </w:rPr>
        <w:t xml:space="preserve"> and planning and rapidly implementing countermeasures. The company established a dedicated risk management function which was responsible for these activities. There was also an executive-level committee that made decisions on corporate risks, designated “risk owners” to manage the specific risks, and regularly reported to the Board of Directors on progress. Each division was empowered and expected to take preventive measures to minimize the realization and impact of risks that did not require corporate coordination. Nissan’s continuous readiness process included activities such as ongoing seismic reinforcement of facilities, improvement to its business continuity planning (BCP), and disaster simulation training.</w:t>
      </w:r>
      <w:bookmarkStart w:id="15" w:name="_ftnref15"/>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"_ftn15"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[15]</w:t>
      </w:r>
      <w:r w:rsidRPr="00CF6198">
        <w:rPr>
          <w:rFonts w:ascii="Times New Roman" w:eastAsia="Times New Roman" w:hAnsi="Times New Roman" w:cs="Times New Roman"/>
          <w:color w:val="000000"/>
          <w:sz w:val="24"/>
          <w:szCs w:val="24"/>
        </w:rPr>
        <w:fldChar w:fldCharType="end"/>
      </w:r>
      <w:bookmarkEnd w:id="15"/>
    </w:p>
    <w:p w:rsidR="00CF6198" w:rsidRPr="00CF6198" w:rsidRDefault="00CF6198" w:rsidP="00CF6198">
      <w:pPr>
        <w:spacing w:after="32" w:line="193" w:lineRule="atLeast"/>
        <w:ind w:left="720"/>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0"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Nissan had an earthquake emergency-response plan in place well in advance of the 2011 earthquake, which was described in its 2010 annual report (</w:t>
      </w:r>
      <w:r w:rsidRPr="00CF6198">
        <w:rPr>
          <w:rFonts w:ascii="Times New Roman" w:eastAsia="Times New Roman" w:hAnsi="Times New Roman" w:cs="Times New Roman"/>
          <w:b/>
          <w:bCs/>
          <w:color w:val="000000"/>
          <w:sz w:val="24"/>
          <w:szCs w:val="24"/>
        </w:rPr>
        <w:t>Exhibit 4</w:t>
      </w:r>
      <w:r w:rsidRPr="00CF6198">
        <w:rPr>
          <w:rFonts w:ascii="Times New Roman" w:eastAsia="Times New Roman" w:hAnsi="Times New Roman" w:cs="Times New Roman"/>
          <w:color w:val="000000"/>
          <w:sz w:val="24"/>
          <w:szCs w:val="24"/>
        </w:rPr>
        <w:t>).</w:t>
      </w:r>
      <w:bookmarkStart w:id="16" w:name="_ftnref16"/>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"_ftn16"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[16]</w:t>
      </w:r>
      <w:r w:rsidRPr="00CF6198">
        <w:rPr>
          <w:rFonts w:ascii="Times New Roman" w:eastAsia="Times New Roman" w:hAnsi="Times New Roman" w:cs="Times New Roman"/>
          <w:color w:val="000000"/>
          <w:sz w:val="24"/>
          <w:szCs w:val="24"/>
        </w:rPr>
        <w:fldChar w:fldCharType="end"/>
      </w:r>
      <w:bookmarkEnd w:id="16"/>
      <w:r w:rsidRPr="00CF6198">
        <w:rPr>
          <w:rFonts w:ascii="Times New Roman" w:eastAsia="Times New Roman" w:hAnsi="Times New Roman" w:cs="Times New Roman"/>
          <w:color w:val="000000"/>
          <w:sz w:val="24"/>
          <w:szCs w:val="24"/>
        </w:rPr>
        <w:t xml:space="preserve"> The principles of Nissan’s </w:t>
      </w:r>
      <w:proofErr w:type="spellStart"/>
      <w:r w:rsidRPr="00CF6198">
        <w:rPr>
          <w:rFonts w:ascii="Times New Roman" w:eastAsia="Times New Roman" w:hAnsi="Times New Roman" w:cs="Times New Roman"/>
          <w:color w:val="000000"/>
          <w:sz w:val="24"/>
          <w:szCs w:val="24"/>
        </w:rPr>
        <w:t>emergencyresponse</w:t>
      </w:r>
      <w:proofErr w:type="spellEnd"/>
      <w:r w:rsidRPr="00CF6198">
        <w:rPr>
          <w:rFonts w:ascii="Times New Roman" w:eastAsia="Times New Roman" w:hAnsi="Times New Roman" w:cs="Times New Roman"/>
          <w:color w:val="000000"/>
          <w:sz w:val="24"/>
          <w:szCs w:val="24"/>
        </w:rPr>
        <w:t xml:space="preserve"> plan included a priority on human life, prevention of follow-on disasters, rapid disaster recovery and business continuity, and support for the neighboring community, companies, and government. It designated a Global Disaster Headquarters that, in the aftermath of a disaster, was responsible for gathering and distributing information concerning employee safety, facility damage, and business continuity planning for Nissan’s operations and those of its suppliers. In addition, the plan required that Nissan conduct earthquake simulation training to test and improve upon the effectiveness of the organization and its contingency plan.</w:t>
      </w:r>
    </w:p>
    <w:p w:rsidR="00CF6198" w:rsidRPr="00CF6198" w:rsidRDefault="00CF6198" w:rsidP="00CF6198">
      <w:pPr>
        <w:spacing w:after="120" w:line="270" w:lineRule="atLeast"/>
        <w:ind w:left="-5"/>
        <w:outlineLvl w:val="0"/>
        <w:rPr>
          <w:rFonts w:ascii="Arial" w:eastAsia="Times New Roman" w:hAnsi="Arial" w:cs="Arial"/>
          <w:b/>
          <w:bCs/>
          <w:color w:val="777777"/>
          <w:kern w:val="36"/>
          <w:sz w:val="32"/>
          <w:szCs w:val="32"/>
        </w:rPr>
      </w:pPr>
      <w:r w:rsidRPr="00CF6198">
        <w:rPr>
          <w:rFonts w:ascii="Arial" w:eastAsia="Times New Roman" w:hAnsi="Arial" w:cs="Arial"/>
          <w:b/>
          <w:bCs/>
          <w:color w:val="777777"/>
          <w:kern w:val="36"/>
          <w:sz w:val="32"/>
          <w:szCs w:val="32"/>
        </w:rPr>
        <w:t>Nissan’s Response to the Disaster</w:t>
      </w:r>
    </w:p>
    <w:p w:rsidR="00CF6198" w:rsidRPr="00CF6198" w:rsidRDefault="00CF6198" w:rsidP="00CF6198">
      <w:pPr>
        <w:spacing w:after="3"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Nissan’s actions after the earthquake and tsunami adhered to the principles detailed in its earthquake emergency-response plan. Immediately after the disaster, Nissan’s Global Disaster Control Headquarters, headed up by the chief operating officer, was convened to evaluate the impact on operations and to oversee the restoration of activities. A Recovery Committee was established to coordinate the global recovery actions, in particular the work of optimizing the entire supply chain.</w:t>
      </w:r>
    </w:p>
    <w:p w:rsidR="00CF6198" w:rsidRPr="00CF6198" w:rsidRDefault="00CF6198" w:rsidP="00CF6198">
      <w:pPr>
        <w:spacing w:after="3"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As Nissan’s Chief Recovery Officer Colin Dodge wrote in the company’s 2011 Annual Report,</w:t>
      </w:r>
    </w:p>
    <w:p w:rsidR="00CF6198" w:rsidRPr="00CF6198" w:rsidRDefault="00CF6198" w:rsidP="00CF6198">
      <w:pPr>
        <w:spacing w:after="27"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3" w:line="270" w:lineRule="atLeast"/>
        <w:ind w:left="370"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The impact on our business [of the disaster] was felt in all regions. Nissan’s manufacturing operations are thoroughly global in nature, and disruption to the supply structure in Japan spreads quickly through our supply chain all around the world. In the past months Nissan has been implementing countermeasures in every region where it does business.</w:t>
      </w:r>
    </w:p>
    <w:p w:rsidR="00CF6198" w:rsidRPr="00CF6198" w:rsidRDefault="00CF6198" w:rsidP="00CF6198">
      <w:pPr>
        <w:spacing w:after="32" w:line="193" w:lineRule="atLeast"/>
        <w:ind w:left="360"/>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0" w:line="270" w:lineRule="atLeast"/>
        <w:ind w:left="370"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xml:space="preserve">In Europe, for example, where we maintain production bases in the United Kingdom, Spain and Russia, we took steps immediately after the quake to ensure supplies of needed parts. The European regional team worked closely with the Japan side to share information about the status of the Japan-sourced parts supply, swiftly reflecting these updates in the regional supply side. The level of depth and accuracy of this information sharing has been truly </w:t>
      </w:r>
      <w:r w:rsidRPr="00CF6198">
        <w:rPr>
          <w:rFonts w:ascii="Times New Roman" w:eastAsia="Times New Roman" w:hAnsi="Times New Roman" w:cs="Times New Roman"/>
          <w:color w:val="000000"/>
          <w:sz w:val="24"/>
          <w:szCs w:val="24"/>
        </w:rPr>
        <w:lastRenderedPageBreak/>
        <w:t>amazing. It has allowed us to constantly update our regional production forecast, so that we can align our production calendar with conditions in production sites in Japan.</w:t>
      </w:r>
      <w:r w:rsidRPr="00CF6198">
        <w:rPr>
          <w:rFonts w:ascii="Times New Roman" w:eastAsia="Times New Roman" w:hAnsi="Times New Roman" w:cs="Times New Roman"/>
          <w:color w:val="000000"/>
          <w:sz w:val="20"/>
          <w:szCs w:val="20"/>
          <w:vertAlign w:val="superscript"/>
        </w:rPr>
        <w:t>23</w:t>
      </w:r>
      <w:r w:rsidRPr="00CF6198">
        <w:rPr>
          <w:rFonts w:ascii="Times New Roman" w:eastAsia="Times New Roman" w:hAnsi="Times New Roman" w:cs="Times New Roman"/>
          <w:color w:val="000000"/>
          <w:sz w:val="24"/>
          <w:szCs w:val="24"/>
        </w:rPr>
        <w:t> </w:t>
      </w:r>
    </w:p>
    <w:p w:rsidR="00CF6198" w:rsidRPr="00CF6198" w:rsidRDefault="00CF6198" w:rsidP="00CF6198">
      <w:pPr>
        <w:spacing w:after="959"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0" w:line="193" w:lineRule="atLeast"/>
        <w:ind w:left="-5"/>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9"/>
          <w:szCs w:val="9"/>
        </w:rPr>
        <w:t>23</w:t>
      </w:r>
    </w:p>
    <w:p w:rsidR="00CF6198" w:rsidRPr="00CF6198" w:rsidRDefault="00CF6198" w:rsidP="00CF6198">
      <w:pPr>
        <w:spacing w:after="3"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The Recovery Committee emphasized a few simple yet meaningful practices in coordinating the company’s response to the disaster:</w:t>
      </w:r>
    </w:p>
    <w:p w:rsidR="00CF6198" w:rsidRPr="00CF6198" w:rsidRDefault="00CF6198" w:rsidP="00CF6198">
      <w:pPr>
        <w:spacing w:after="65"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0" w:line="270" w:lineRule="atLeast"/>
        <w:ind w:left="720" w:right="31" w:hanging="360"/>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1.</w:t>
      </w:r>
      <w:r w:rsidRPr="00CF6198">
        <w:rPr>
          <w:rFonts w:ascii="Times New Roman" w:eastAsia="Times New Roman" w:hAnsi="Times New Roman" w:cs="Times New Roman"/>
          <w:color w:val="000000"/>
          <w:sz w:val="14"/>
          <w:szCs w:val="14"/>
        </w:rPr>
        <w:t>      </w:t>
      </w:r>
      <w:r w:rsidRPr="00CF6198">
        <w:rPr>
          <w:rFonts w:ascii="Times New Roman" w:eastAsia="Times New Roman" w:hAnsi="Times New Roman" w:cs="Times New Roman"/>
          <w:color w:val="000000"/>
          <w:sz w:val="14"/>
        </w:rPr>
        <w:t> </w:t>
      </w:r>
      <w:r w:rsidRPr="00CF6198">
        <w:rPr>
          <w:rFonts w:ascii="Times New Roman" w:eastAsia="Times New Roman" w:hAnsi="Times New Roman" w:cs="Times New Roman"/>
          <w:b/>
          <w:bCs/>
          <w:color w:val="000000"/>
          <w:sz w:val="24"/>
          <w:szCs w:val="24"/>
        </w:rPr>
        <w:t>Sharing information </w:t>
      </w:r>
      <w:r w:rsidRPr="00CF6198">
        <w:rPr>
          <w:rFonts w:ascii="Times New Roman" w:eastAsia="Times New Roman" w:hAnsi="Times New Roman" w:cs="Times New Roman"/>
          <w:color w:val="000000"/>
          <w:sz w:val="24"/>
          <w:szCs w:val="24"/>
        </w:rPr>
        <w:t>– Nissan brought all of their global regions into the response process. Management recognized that the non-Japanese operations would want information, but the effort to provide it would be a distraction to those on the ground handling the crisis. They also recognized information might be used selfishly by dependent facilities optimizing against its own needs. To address these two concerns, each region was asked to send two staff members to Japan to gather their own information and to help solve problems holistically. Instead of becoming a drain on the local response effort, the other regions and plants contributed to solutions. In addition, the regions had complete visibility into what was happening in Japan and could help the organization improve the response.</w:t>
      </w:r>
    </w:p>
    <w:p w:rsidR="00CF6198" w:rsidRPr="00CF6198" w:rsidRDefault="00CF6198" w:rsidP="00CF6198">
      <w:pPr>
        <w:spacing w:after="65" w:line="193" w:lineRule="atLeast"/>
        <w:ind w:left="720"/>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0" w:line="270" w:lineRule="atLeast"/>
        <w:ind w:left="720" w:right="31" w:hanging="360"/>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2.</w:t>
      </w:r>
      <w:r w:rsidRPr="00CF6198">
        <w:rPr>
          <w:rFonts w:ascii="Times New Roman" w:eastAsia="Times New Roman" w:hAnsi="Times New Roman" w:cs="Times New Roman"/>
          <w:color w:val="000000"/>
          <w:sz w:val="14"/>
          <w:szCs w:val="14"/>
        </w:rPr>
        <w:t>      </w:t>
      </w:r>
      <w:r w:rsidRPr="00CF6198">
        <w:rPr>
          <w:rFonts w:ascii="Times New Roman" w:eastAsia="Times New Roman" w:hAnsi="Times New Roman" w:cs="Times New Roman"/>
          <w:color w:val="000000"/>
          <w:sz w:val="14"/>
        </w:rPr>
        <w:t> </w:t>
      </w:r>
      <w:r w:rsidRPr="00CF6198">
        <w:rPr>
          <w:rFonts w:ascii="Times New Roman" w:eastAsia="Times New Roman" w:hAnsi="Times New Roman" w:cs="Times New Roman"/>
          <w:b/>
          <w:bCs/>
          <w:color w:val="000000"/>
          <w:sz w:val="24"/>
          <w:szCs w:val="24"/>
        </w:rPr>
        <w:t>Allocating supply </w:t>
      </w:r>
      <w:r w:rsidRPr="00CF6198">
        <w:rPr>
          <w:rFonts w:ascii="Times New Roman" w:eastAsia="Times New Roman" w:hAnsi="Times New Roman" w:cs="Times New Roman"/>
          <w:color w:val="000000"/>
          <w:sz w:val="24"/>
          <w:szCs w:val="24"/>
        </w:rPr>
        <w:t>– Given the capacity constraints in the weeks and months after the disaster, and the dependencies that existed across the Nissan operational network, allocation of component parts was critical. The sales, marketing, and the regional supply chain management functions were brought together to identify how to globally allocate supplies to focus on highest margin goods. For example the supply of integrated Global Positioning System (GPS) units was constrained by the disaster.  Nissan identified which car models required integrated GPS to meet customer demands, and allocated resources accordingly. Low-end models did not receive the allocation of available GPS since they did not have commensurately high margins, and customers were willing to purchase those models without an integrated GPS. This process was completed within two weeks of the earthquake and continually updated as the supply situation became clearer. </w:t>
      </w:r>
    </w:p>
    <w:p w:rsidR="00CF6198" w:rsidRPr="00CF6198" w:rsidRDefault="00CF6198" w:rsidP="00CF6198">
      <w:pPr>
        <w:spacing w:after="65" w:line="193" w:lineRule="atLeast"/>
        <w:ind w:left="720"/>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0" w:line="270" w:lineRule="atLeast"/>
        <w:ind w:left="720" w:right="31" w:hanging="360"/>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3.</w:t>
      </w:r>
      <w:r w:rsidRPr="00CF6198">
        <w:rPr>
          <w:rFonts w:ascii="Times New Roman" w:eastAsia="Times New Roman" w:hAnsi="Times New Roman" w:cs="Times New Roman"/>
          <w:color w:val="000000"/>
          <w:sz w:val="14"/>
          <w:szCs w:val="14"/>
        </w:rPr>
        <w:t>      </w:t>
      </w:r>
      <w:r w:rsidRPr="00CF6198">
        <w:rPr>
          <w:rFonts w:ascii="Times New Roman" w:eastAsia="Times New Roman" w:hAnsi="Times New Roman" w:cs="Times New Roman"/>
          <w:color w:val="000000"/>
          <w:sz w:val="14"/>
        </w:rPr>
        <w:t> </w:t>
      </w:r>
      <w:r w:rsidRPr="00CF6198">
        <w:rPr>
          <w:rFonts w:ascii="Times New Roman" w:eastAsia="Times New Roman" w:hAnsi="Times New Roman" w:cs="Times New Roman"/>
          <w:b/>
          <w:bCs/>
          <w:color w:val="000000"/>
          <w:sz w:val="24"/>
          <w:szCs w:val="24"/>
        </w:rPr>
        <w:t>Managing production – </w:t>
      </w:r>
      <w:r w:rsidRPr="00CF6198">
        <w:rPr>
          <w:rFonts w:ascii="Times New Roman" w:eastAsia="Times New Roman" w:hAnsi="Times New Roman" w:cs="Times New Roman"/>
          <w:color w:val="000000"/>
          <w:sz w:val="24"/>
          <w:szCs w:val="24"/>
        </w:rPr>
        <w:t>Nissan slowed their production lines in a targeted way. Management closely considered in-stock and in-transit inventory within their network and slowed production upstream and downstream of anticipated bottlenecks. For example, the company was able to ramp down production, and thereby decrease costly overtime, for operations that were expected to be bottlenecked. Management also pulled vacation time into April and May in order to free up capacity later in the summer when upstream bottlenecks were projected to have cleared. </w:t>
      </w:r>
    </w:p>
    <w:p w:rsidR="00CF6198" w:rsidRPr="00CF6198" w:rsidRDefault="00CF6198" w:rsidP="00CF6198">
      <w:pPr>
        <w:spacing w:after="32" w:line="193" w:lineRule="atLeast"/>
        <w:ind w:left="720"/>
        <w:rPr>
          <w:rFonts w:ascii="Times New Roman" w:eastAsia="Times New Roman" w:hAnsi="Times New Roman" w:cs="Times New Roman"/>
          <w:color w:val="000000"/>
          <w:sz w:val="24"/>
          <w:szCs w:val="24"/>
        </w:rPr>
      </w:pPr>
      <w:r w:rsidRPr="00CF6198">
        <w:rPr>
          <w:rFonts w:ascii="Times New Roman" w:eastAsia="Times New Roman" w:hAnsi="Times New Roman" w:cs="Times New Roman"/>
          <w:b/>
          <w:bCs/>
          <w:color w:val="000000"/>
          <w:sz w:val="24"/>
          <w:szCs w:val="24"/>
        </w:rPr>
        <w:t> </w:t>
      </w:r>
    </w:p>
    <w:p w:rsidR="00CF6198" w:rsidRPr="00CF6198" w:rsidRDefault="00CF6198" w:rsidP="00CF6198">
      <w:pPr>
        <w:spacing w:after="3" w:line="270" w:lineRule="atLeast"/>
        <w:ind w:left="730"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xml:space="preserve">The company used the time bought by having in-transit inventory to identify and implement supply alternatives. For example, the lead-time for ocean transport from Japan to the west coast of the United States was 15 days, plus five days to move material to plants in Tennessee and Mississippi. This meant that management had as many as 20 </w:t>
      </w:r>
      <w:r w:rsidRPr="00CF6198">
        <w:rPr>
          <w:rFonts w:ascii="Times New Roman" w:eastAsia="Times New Roman" w:hAnsi="Times New Roman" w:cs="Times New Roman"/>
          <w:color w:val="000000"/>
          <w:sz w:val="24"/>
          <w:szCs w:val="24"/>
        </w:rPr>
        <w:lastRenderedPageBreak/>
        <w:t>days to identify how to access alternative supplies of critical components. They were also able to secure air freight out of Japan so they could get critical parts out of the country faster and mitigate the reduction of in-transit stocks.</w:t>
      </w:r>
    </w:p>
    <w:p w:rsidR="00CF6198" w:rsidRPr="00CF6198" w:rsidRDefault="00CF6198" w:rsidP="00CF6198">
      <w:pPr>
        <w:spacing w:after="65" w:line="193" w:lineRule="atLeast"/>
        <w:ind w:left="720"/>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0" w:line="270" w:lineRule="atLeast"/>
        <w:ind w:left="720" w:right="31" w:hanging="360"/>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4.</w:t>
      </w:r>
      <w:r w:rsidRPr="00CF6198">
        <w:rPr>
          <w:rFonts w:ascii="Times New Roman" w:eastAsia="Times New Roman" w:hAnsi="Times New Roman" w:cs="Times New Roman"/>
          <w:color w:val="000000"/>
          <w:sz w:val="14"/>
          <w:szCs w:val="14"/>
        </w:rPr>
        <w:t>      </w:t>
      </w:r>
      <w:r w:rsidRPr="00CF6198">
        <w:rPr>
          <w:rFonts w:ascii="Times New Roman" w:eastAsia="Times New Roman" w:hAnsi="Times New Roman" w:cs="Times New Roman"/>
          <w:color w:val="000000"/>
          <w:sz w:val="14"/>
        </w:rPr>
        <w:t> </w:t>
      </w:r>
      <w:r w:rsidRPr="00CF6198">
        <w:rPr>
          <w:rFonts w:ascii="Times New Roman" w:eastAsia="Times New Roman" w:hAnsi="Times New Roman" w:cs="Times New Roman"/>
          <w:b/>
          <w:bCs/>
          <w:color w:val="000000"/>
          <w:sz w:val="24"/>
          <w:szCs w:val="24"/>
        </w:rPr>
        <w:t>Empowering action </w:t>
      </w:r>
      <w:r w:rsidRPr="00CF6198">
        <w:rPr>
          <w:rFonts w:ascii="Times New Roman" w:eastAsia="Times New Roman" w:hAnsi="Times New Roman" w:cs="Times New Roman"/>
          <w:color w:val="000000"/>
          <w:sz w:val="24"/>
          <w:szCs w:val="24"/>
        </w:rPr>
        <w:t>– Nissan emphasized rapid and flexible action. Management was empowered to make decisions in the field without lengthy analysis from a central authority. To speed critical decision-making process on recovery-related issues, the company modified its delegation of authority rules for a limited period. The decisions were iterated upon as new information surfaced so that the company could course correct, if necessary. As Nissan’s Chief Operating Officer Toshiyuki Shiga explained, </w:t>
      </w:r>
    </w:p>
    <w:p w:rsidR="00CF6198" w:rsidRPr="00CF6198" w:rsidRDefault="00CF6198" w:rsidP="00CF6198">
      <w:pPr>
        <w:spacing w:after="27"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3" w:line="270" w:lineRule="atLeast"/>
        <w:ind w:left="1090"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The disaster response simulations we have carried out regularly served us particularly well. By envisioning a full range of potential situations arising from a major disaster and preparing for them, we successfully enabled ourselves to take prompt actions when the time came.</w:t>
      </w:r>
    </w:p>
    <w:p w:rsidR="00CF6198" w:rsidRPr="00CF6198" w:rsidRDefault="00CF6198" w:rsidP="00CF6198">
      <w:pPr>
        <w:spacing w:after="32"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0" w:line="270" w:lineRule="atLeast"/>
        <w:ind w:left="1090"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At a time of disaster, it is essential to make speedy decisions while grasping the latest situation, including details on employees’ safety and damage caused, and to take appropriate actions based on this. We launched the Global Disaster Control Headquarters just 15 minutes after the earthquake occurred. The team immediately gathered and assessed damage while overseeing restoration efforts at various facilities.</w:t>
      </w:r>
      <w:bookmarkStart w:id="17" w:name="_ftnref17"/>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"_ftn17"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[17]</w:t>
      </w:r>
      <w:r w:rsidRPr="00CF6198">
        <w:rPr>
          <w:rFonts w:ascii="Times New Roman" w:eastAsia="Times New Roman" w:hAnsi="Times New Roman" w:cs="Times New Roman"/>
          <w:color w:val="000000"/>
          <w:sz w:val="24"/>
          <w:szCs w:val="24"/>
        </w:rPr>
        <w:fldChar w:fldCharType="end"/>
      </w:r>
      <w:bookmarkEnd w:id="17"/>
    </w:p>
    <w:p w:rsidR="00CF6198" w:rsidRPr="00CF6198" w:rsidRDefault="00CF6198" w:rsidP="00CF6198">
      <w:pPr>
        <w:spacing w:after="120" w:line="270" w:lineRule="atLeast"/>
        <w:ind w:left="-5"/>
        <w:outlineLvl w:val="0"/>
        <w:rPr>
          <w:rFonts w:ascii="Arial" w:eastAsia="Times New Roman" w:hAnsi="Arial" w:cs="Arial"/>
          <w:b/>
          <w:bCs/>
          <w:color w:val="777777"/>
          <w:kern w:val="36"/>
          <w:sz w:val="32"/>
          <w:szCs w:val="32"/>
        </w:rPr>
      </w:pPr>
      <w:r w:rsidRPr="00CF6198">
        <w:rPr>
          <w:rFonts w:ascii="Arial" w:eastAsia="Times New Roman" w:hAnsi="Arial" w:cs="Arial"/>
          <w:b/>
          <w:bCs/>
          <w:color w:val="777777"/>
          <w:kern w:val="36"/>
          <w:sz w:val="32"/>
          <w:szCs w:val="32"/>
        </w:rPr>
        <w:t>Recovery by the Big Three Japanese Auto Manufacturers</w:t>
      </w:r>
    </w:p>
    <w:p w:rsidR="00CF6198" w:rsidRPr="00CF6198" w:rsidRDefault="00CF6198" w:rsidP="00CF6198">
      <w:pPr>
        <w:spacing w:after="0"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In the six months following the earthquake, production across all auto manufacturers in Japan declined 24.3% compared to forecast.</w:t>
      </w:r>
      <w:bookmarkStart w:id="18" w:name="_ftnref18"/>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"_ftn18"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[18]</w:t>
      </w:r>
      <w:r w:rsidRPr="00CF6198">
        <w:rPr>
          <w:rFonts w:ascii="Times New Roman" w:eastAsia="Times New Roman" w:hAnsi="Times New Roman" w:cs="Times New Roman"/>
          <w:color w:val="000000"/>
          <w:sz w:val="24"/>
          <w:szCs w:val="24"/>
        </w:rPr>
        <w:fldChar w:fldCharType="end"/>
      </w:r>
      <w:bookmarkEnd w:id="18"/>
      <w:r w:rsidRPr="00CF6198">
        <w:rPr>
          <w:rFonts w:ascii="Times New Roman" w:eastAsia="Times New Roman" w:hAnsi="Times New Roman" w:cs="Times New Roman"/>
          <w:color w:val="000000"/>
          <w:sz w:val="24"/>
          <w:szCs w:val="24"/>
        </w:rPr>
        <w:t> The big three Japanese manufacturers each contended with different issues associated with the disaster. Toyota had significant exposure due to its large size and its high rate of Japanese production (including for export). Nissan had several plants in close proximity to the disaster area. While Honda was partly insulated due to its large localized U.S. production, recovery from the disaster was still slow. Honda attributed its production problems to constraints in its supply chain</w:t>
      </w:r>
      <w:proofErr w:type="gramStart"/>
      <w:r w:rsidRPr="00CF6198">
        <w:rPr>
          <w:rFonts w:ascii="Times New Roman" w:eastAsia="Times New Roman" w:hAnsi="Times New Roman" w:cs="Times New Roman"/>
          <w:color w:val="000000"/>
          <w:sz w:val="24"/>
          <w:szCs w:val="24"/>
        </w:rPr>
        <w:t>,</w:t>
      </w:r>
      <w:bookmarkStart w:id="19" w:name="_ftnref19"/>
      <w:proofErr w:type="gramEnd"/>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"_ftn19"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[19]</w:t>
      </w:r>
      <w:r w:rsidRPr="00CF6198">
        <w:rPr>
          <w:rFonts w:ascii="Times New Roman" w:eastAsia="Times New Roman" w:hAnsi="Times New Roman" w:cs="Times New Roman"/>
          <w:color w:val="000000"/>
          <w:sz w:val="24"/>
          <w:szCs w:val="24"/>
        </w:rPr>
        <w:fldChar w:fldCharType="end"/>
      </w:r>
      <w:bookmarkEnd w:id="19"/>
      <w:r w:rsidRPr="00CF6198">
        <w:rPr>
          <w:rFonts w:ascii="Times New Roman" w:eastAsia="Times New Roman" w:hAnsi="Times New Roman" w:cs="Times New Roman"/>
          <w:color w:val="000000"/>
          <w:sz w:val="24"/>
          <w:szCs w:val="24"/>
        </w:rPr>
        <w:t> a problem that Nissan had successfully insulated itself from. As Nissan’s Chief Financial Officer Joseph Peter remarked,</w:t>
      </w:r>
    </w:p>
    <w:p w:rsidR="00CF6198" w:rsidRPr="00CF6198" w:rsidRDefault="00CF6198" w:rsidP="00CF6198">
      <w:pPr>
        <w:spacing w:after="27"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0" w:line="270" w:lineRule="atLeast"/>
        <w:ind w:left="370"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Most of the steps we have taken in response to the March 11 disaster have been continuations of strategies, priorities and plans that were already in place. One example of this is the localization strategy we have been pursuing to better balance our manufacturing and sourcing footprint to our sales footprint. Our actions in this area date back to the start of the financial crisis in 2008, when our primary objectives were to reduce volatility from foreign currency movements, particularly the appreciating yen, and to reduce cost.</w:t>
      </w:r>
      <w:r w:rsidRPr="00CF6198">
        <w:rPr>
          <w:rFonts w:ascii="Times New Roman" w:eastAsia="Times New Roman" w:hAnsi="Times New Roman" w:cs="Times New Roman"/>
          <w:color w:val="000000"/>
          <w:sz w:val="20"/>
          <w:szCs w:val="20"/>
          <w:vertAlign w:val="superscript"/>
        </w:rPr>
        <w:t>27</w:t>
      </w:r>
    </w:p>
    <w:p w:rsidR="00CF6198" w:rsidRPr="00CF6198" w:rsidRDefault="00CF6198" w:rsidP="00CF6198">
      <w:pPr>
        <w:spacing w:after="0" w:line="193" w:lineRule="atLeast"/>
        <w:ind w:left="-5"/>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9"/>
          <w:szCs w:val="9"/>
        </w:rPr>
        <w:t>27</w:t>
      </w:r>
    </w:p>
    <w:p w:rsidR="00CF6198" w:rsidRPr="00CF6198" w:rsidRDefault="00CF6198" w:rsidP="00CF6198">
      <w:pPr>
        <w:spacing w:after="120" w:line="270" w:lineRule="atLeast"/>
        <w:ind w:left="-5"/>
        <w:outlineLvl w:val="0"/>
        <w:rPr>
          <w:rFonts w:ascii="Arial" w:eastAsia="Times New Roman" w:hAnsi="Arial" w:cs="Arial"/>
          <w:b/>
          <w:bCs/>
          <w:color w:val="777777"/>
          <w:kern w:val="36"/>
          <w:sz w:val="32"/>
          <w:szCs w:val="32"/>
        </w:rPr>
      </w:pPr>
      <w:r w:rsidRPr="00CF6198">
        <w:rPr>
          <w:rFonts w:ascii="Arial" w:eastAsia="Times New Roman" w:hAnsi="Arial" w:cs="Arial"/>
          <w:b/>
          <w:bCs/>
          <w:color w:val="777777"/>
          <w:kern w:val="36"/>
          <w:sz w:val="32"/>
          <w:szCs w:val="32"/>
        </w:rPr>
        <w:t>Going Forward </w:t>
      </w:r>
    </w:p>
    <w:p w:rsidR="00CF6198" w:rsidRPr="00CF6198" w:rsidRDefault="00CF6198" w:rsidP="00CF6198">
      <w:pPr>
        <w:spacing w:after="0"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In January 2012, Nissan announced that it would increase the localized production of its cars in the Americas from approximately 70% to 90% by 2015.</w:t>
      </w:r>
      <w:bookmarkStart w:id="20" w:name="_ftnref20"/>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"_ftn20"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[20]</w:t>
      </w:r>
      <w:r w:rsidRPr="00CF6198">
        <w:rPr>
          <w:rFonts w:ascii="Times New Roman" w:eastAsia="Times New Roman" w:hAnsi="Times New Roman" w:cs="Times New Roman"/>
          <w:color w:val="000000"/>
          <w:sz w:val="24"/>
          <w:szCs w:val="24"/>
        </w:rPr>
        <w:fldChar w:fldCharType="end"/>
      </w:r>
      <w:bookmarkEnd w:id="20"/>
      <w:r w:rsidRPr="00CF6198">
        <w:rPr>
          <w:rFonts w:ascii="Times New Roman" w:eastAsia="Times New Roman" w:hAnsi="Times New Roman" w:cs="Times New Roman"/>
          <w:color w:val="000000"/>
          <w:sz w:val="24"/>
          <w:szCs w:val="24"/>
        </w:rPr>
        <w:t> The company also set aggressive targets to reduce its reliance on Japanese-made components in its foreign factories. For instance, the company was hoping to reduce the number of components brought in to North America from Japan by 50% by the end of fiscal 2013.</w:t>
      </w:r>
      <w:bookmarkStart w:id="21" w:name="_ftnref21"/>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"_ftn21"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[21]</w:t>
      </w:r>
      <w:r w:rsidRPr="00CF6198">
        <w:rPr>
          <w:rFonts w:ascii="Times New Roman" w:eastAsia="Times New Roman" w:hAnsi="Times New Roman" w:cs="Times New Roman"/>
          <w:color w:val="000000"/>
          <w:sz w:val="24"/>
          <w:szCs w:val="24"/>
        </w:rPr>
        <w:fldChar w:fldCharType="end"/>
      </w:r>
      <w:bookmarkEnd w:id="21"/>
      <w:r w:rsidRPr="00CF6198">
        <w:rPr>
          <w:rFonts w:ascii="Times New Roman" w:eastAsia="Times New Roman" w:hAnsi="Times New Roman" w:cs="Times New Roman"/>
          <w:color w:val="000000"/>
          <w:sz w:val="24"/>
          <w:szCs w:val="24"/>
        </w:rPr>
        <w:t xml:space="preserve"> The company, according to Peter, was also making a </w:t>
      </w:r>
      <w:r w:rsidRPr="00CF6198">
        <w:rPr>
          <w:rFonts w:ascii="Times New Roman" w:eastAsia="Times New Roman" w:hAnsi="Times New Roman" w:cs="Times New Roman"/>
          <w:color w:val="000000"/>
          <w:sz w:val="24"/>
          <w:szCs w:val="24"/>
        </w:rPr>
        <w:lastRenderedPageBreak/>
        <w:t>concerted effort to better understand critical dependencies that exist within its supply chain beyond the first tier of suppliers: </w:t>
      </w:r>
    </w:p>
    <w:p w:rsidR="00CF6198" w:rsidRPr="00CF6198" w:rsidRDefault="00CF6198" w:rsidP="00CF6198">
      <w:pPr>
        <w:spacing w:after="32"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0" w:line="270" w:lineRule="atLeast"/>
        <w:ind w:left="370"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We are learning fresh lessons from the earthquake, too. Moving forward we will be modifying our purchasing process to enhance our business continuity plan at the parts level, particularly for critical components, and to mitigate potential supply risk concentration beyond the Tier 1 level. These are evolutionary kaizen changes, though, as opposed to fundamental shifts in our sourcing strategy.</w:t>
      </w:r>
      <w:bookmarkStart w:id="22" w:name="_ftnref22"/>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"_ftn22"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[22]</w:t>
      </w:r>
      <w:r w:rsidRPr="00CF6198">
        <w:rPr>
          <w:rFonts w:ascii="Times New Roman" w:eastAsia="Times New Roman" w:hAnsi="Times New Roman" w:cs="Times New Roman"/>
          <w:color w:val="000000"/>
          <w:sz w:val="24"/>
          <w:szCs w:val="24"/>
        </w:rPr>
        <w:fldChar w:fldCharType="end"/>
      </w:r>
      <w:bookmarkEnd w:id="22"/>
    </w:p>
    <w:p w:rsidR="00CF6198" w:rsidRPr="00CF6198" w:rsidRDefault="00CF6198" w:rsidP="00CF6198">
      <w:pPr>
        <w:spacing w:after="32"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3" w:line="270" w:lineRule="atLeast"/>
        <w:ind w:left="-5"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As COO Shiga pointed out, despite its preparedness, Nissan had work to do to be even better protected the next time disaster struck:</w:t>
      </w:r>
    </w:p>
    <w:p w:rsidR="00CF6198" w:rsidRPr="00CF6198" w:rsidRDefault="00CF6198" w:rsidP="00CF6198">
      <w:pPr>
        <w:spacing w:after="27"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0" w:line="270" w:lineRule="atLeast"/>
        <w:ind w:left="370" w:right="31"/>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Many challenges still lie ahead. Some parts suppliers have yet to restore their operations. Our supply chain requires rehabilitation. This experience has instructed us in the necessity of an actionable BCP (business continuity plan) that encompasses all our suppliers, including those in the second and third tiers. Development of a more robust supply chain and comprehensive risk management are imperative in making our business more sustainable.</w:t>
      </w:r>
      <w:bookmarkStart w:id="23" w:name="_ftnref23"/>
      <w:r w:rsidRPr="00CF6198">
        <w:rPr>
          <w:rFonts w:ascii="Times New Roman" w:eastAsia="Times New Roman" w:hAnsi="Times New Roman" w:cs="Times New Roman"/>
          <w:color w:val="000000"/>
          <w:sz w:val="24"/>
          <w:szCs w:val="24"/>
        </w:rPr>
        <w:fldChar w:fldCharType="begin"/>
      </w:r>
      <w:r w:rsidRPr="00CF6198">
        <w:rPr>
          <w:rFonts w:ascii="Times New Roman" w:eastAsia="Times New Roman" w:hAnsi="Times New Roman" w:cs="Times New Roman"/>
          <w:color w:val="000000"/>
          <w:sz w:val="24"/>
          <w:szCs w:val="24"/>
        </w:rPr>
        <w:instrText xml:space="preserve"> HYPERLINK "file:///C:\\Users\\Scott%20PC\\Downloads\\1459369_1_13-149-Nissan.Simchi-Levi.pdf" \l "_ftn23" \o "" </w:instrText>
      </w:r>
      <w:r w:rsidRPr="00CF6198">
        <w:rPr>
          <w:rFonts w:ascii="Times New Roman" w:eastAsia="Times New Roman" w:hAnsi="Times New Roman" w:cs="Times New Roman"/>
          <w:color w:val="000000"/>
          <w:sz w:val="24"/>
          <w:szCs w:val="24"/>
        </w:rPr>
        <w:fldChar w:fldCharType="separate"/>
      </w:r>
      <w:r w:rsidRPr="00CF6198">
        <w:rPr>
          <w:rFonts w:ascii="Times New Roman" w:eastAsia="Times New Roman" w:hAnsi="Times New Roman" w:cs="Times New Roman"/>
          <w:color w:val="000000"/>
          <w:sz w:val="20"/>
          <w:u w:val="single"/>
          <w:vertAlign w:val="superscript"/>
        </w:rPr>
        <w:t>[23]</w:t>
      </w:r>
      <w:r w:rsidRPr="00CF6198">
        <w:rPr>
          <w:rFonts w:ascii="Times New Roman" w:eastAsia="Times New Roman" w:hAnsi="Times New Roman" w:cs="Times New Roman"/>
          <w:color w:val="000000"/>
          <w:sz w:val="24"/>
          <w:szCs w:val="24"/>
        </w:rPr>
        <w:fldChar w:fldCharType="end"/>
      </w:r>
      <w:bookmarkEnd w:id="23"/>
    </w:p>
    <w:p w:rsidR="00CF6198" w:rsidRPr="00CF6198" w:rsidRDefault="00CF6198" w:rsidP="00CF6198">
      <w:pPr>
        <w:spacing w:after="267" w:line="193" w:lineRule="atLeast"/>
        <w:ind w:right="710"/>
        <w:jc w:val="righ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p w:rsidR="00CF6198" w:rsidRPr="00CF6198" w:rsidRDefault="00CF6198" w:rsidP="00CF6198">
      <w:pPr>
        <w:spacing w:after="346" w:line="270" w:lineRule="atLeast"/>
        <w:ind w:left="-5"/>
        <w:outlineLvl w:val="0"/>
        <w:rPr>
          <w:rFonts w:ascii="Arial" w:eastAsia="Times New Roman" w:hAnsi="Arial" w:cs="Arial"/>
          <w:b/>
          <w:bCs/>
          <w:color w:val="777777"/>
          <w:kern w:val="36"/>
          <w:sz w:val="32"/>
          <w:szCs w:val="32"/>
        </w:rPr>
      </w:pPr>
      <w:r w:rsidRPr="00CF6198">
        <w:rPr>
          <w:rFonts w:ascii="Arial" w:eastAsia="Times New Roman" w:hAnsi="Arial" w:cs="Arial"/>
          <w:b/>
          <w:bCs/>
          <w:color w:val="777777"/>
          <w:kern w:val="36"/>
          <w:sz w:val="32"/>
          <w:szCs w:val="32"/>
        </w:rPr>
        <w:t>Case Discussion Questions</w:t>
      </w:r>
    </w:p>
    <w:p w:rsidR="00CF6198" w:rsidRPr="00CF6198" w:rsidRDefault="00CF6198" w:rsidP="00CF6198">
      <w:pPr>
        <w:spacing w:after="0" w:line="270" w:lineRule="atLeast"/>
        <w:ind w:left="390" w:right="31" w:hanging="390"/>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1.</w:t>
      </w:r>
      <w:r w:rsidRPr="00CF6198">
        <w:rPr>
          <w:rFonts w:ascii="Times New Roman" w:eastAsia="Times New Roman" w:hAnsi="Times New Roman" w:cs="Times New Roman"/>
          <w:color w:val="000000"/>
          <w:sz w:val="14"/>
          <w:szCs w:val="14"/>
        </w:rPr>
        <w:t>       </w:t>
      </w:r>
      <w:r w:rsidRPr="00CF6198">
        <w:rPr>
          <w:rFonts w:ascii="Times New Roman" w:eastAsia="Times New Roman" w:hAnsi="Times New Roman" w:cs="Times New Roman"/>
          <w:color w:val="000000"/>
          <w:sz w:val="14"/>
        </w:rPr>
        <w:t> </w:t>
      </w:r>
      <w:r w:rsidRPr="00CF6198">
        <w:rPr>
          <w:rFonts w:ascii="Times New Roman" w:eastAsia="Times New Roman" w:hAnsi="Times New Roman" w:cs="Times New Roman"/>
          <w:color w:val="000000"/>
          <w:sz w:val="24"/>
          <w:szCs w:val="24"/>
        </w:rPr>
        <w:t>The case identifies several aspects of the Nissan response that were particularly beneficial. Expand on the points made in the case to identify the potential costs and benefits of these actions.</w:t>
      </w:r>
    </w:p>
    <w:p w:rsidR="00CF6198" w:rsidRPr="00CF6198" w:rsidRDefault="00CF6198" w:rsidP="00CF6198">
      <w:pPr>
        <w:spacing w:after="0" w:line="270" w:lineRule="atLeast"/>
        <w:ind w:left="390" w:right="31" w:hanging="390"/>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2.</w:t>
      </w:r>
      <w:r w:rsidRPr="00CF6198">
        <w:rPr>
          <w:rFonts w:ascii="Times New Roman" w:eastAsia="Times New Roman" w:hAnsi="Times New Roman" w:cs="Times New Roman"/>
          <w:color w:val="000000"/>
          <w:sz w:val="14"/>
          <w:szCs w:val="14"/>
        </w:rPr>
        <w:t>       </w:t>
      </w:r>
      <w:r w:rsidRPr="00CF6198">
        <w:rPr>
          <w:rFonts w:ascii="Times New Roman" w:eastAsia="Times New Roman" w:hAnsi="Times New Roman" w:cs="Times New Roman"/>
          <w:color w:val="000000"/>
          <w:sz w:val="14"/>
        </w:rPr>
        <w:t> </w:t>
      </w:r>
      <w:r w:rsidRPr="00CF6198">
        <w:rPr>
          <w:rFonts w:ascii="Times New Roman" w:eastAsia="Times New Roman" w:hAnsi="Times New Roman" w:cs="Times New Roman"/>
          <w:color w:val="000000"/>
          <w:sz w:val="24"/>
          <w:szCs w:val="24"/>
        </w:rPr>
        <w:t>What else could Nissan have done to prepare for and respond to the disaster? Try to articulate the costs and benefits of your suggestions.</w:t>
      </w:r>
    </w:p>
    <w:p w:rsidR="00CF6198" w:rsidRPr="00CF6198" w:rsidRDefault="00CF6198" w:rsidP="00CF6198">
      <w:pPr>
        <w:spacing w:after="0" w:line="270" w:lineRule="atLeast"/>
        <w:ind w:left="390" w:right="31" w:hanging="390"/>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3.</w:t>
      </w:r>
      <w:r w:rsidRPr="00CF6198">
        <w:rPr>
          <w:rFonts w:ascii="Times New Roman" w:eastAsia="Times New Roman" w:hAnsi="Times New Roman" w:cs="Times New Roman"/>
          <w:color w:val="000000"/>
          <w:sz w:val="14"/>
          <w:szCs w:val="14"/>
        </w:rPr>
        <w:t>       </w:t>
      </w:r>
      <w:r w:rsidRPr="00CF6198">
        <w:rPr>
          <w:rFonts w:ascii="Times New Roman" w:eastAsia="Times New Roman" w:hAnsi="Times New Roman" w:cs="Times New Roman"/>
          <w:color w:val="000000"/>
          <w:sz w:val="14"/>
        </w:rPr>
        <w:t> </w:t>
      </w:r>
      <w:r w:rsidRPr="00CF6198">
        <w:rPr>
          <w:rFonts w:ascii="Times New Roman" w:eastAsia="Times New Roman" w:hAnsi="Times New Roman" w:cs="Times New Roman"/>
          <w:color w:val="000000"/>
          <w:sz w:val="24"/>
          <w:szCs w:val="24"/>
        </w:rPr>
        <w:t>What could Nissan have done to assess the risk of disruption in their supply chain?</w:t>
      </w:r>
    </w:p>
    <w:p w:rsidR="00CF6198" w:rsidRPr="00CF6198" w:rsidRDefault="00CF6198" w:rsidP="00CF6198">
      <w:pPr>
        <w:spacing w:after="0" w:line="270" w:lineRule="atLeast"/>
        <w:ind w:left="390" w:right="31" w:hanging="390"/>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4.</w:t>
      </w:r>
      <w:r w:rsidRPr="00CF6198">
        <w:rPr>
          <w:rFonts w:ascii="Times New Roman" w:eastAsia="Times New Roman" w:hAnsi="Times New Roman" w:cs="Times New Roman"/>
          <w:color w:val="000000"/>
          <w:sz w:val="14"/>
          <w:szCs w:val="14"/>
        </w:rPr>
        <w:t>       </w:t>
      </w:r>
      <w:r w:rsidRPr="00CF6198">
        <w:rPr>
          <w:rFonts w:ascii="Times New Roman" w:eastAsia="Times New Roman" w:hAnsi="Times New Roman" w:cs="Times New Roman"/>
          <w:color w:val="000000"/>
          <w:sz w:val="14"/>
        </w:rPr>
        <w:t> </w:t>
      </w:r>
      <w:r w:rsidRPr="00CF6198">
        <w:rPr>
          <w:rFonts w:ascii="Times New Roman" w:eastAsia="Times New Roman" w:hAnsi="Times New Roman" w:cs="Times New Roman"/>
          <w:color w:val="000000"/>
          <w:sz w:val="24"/>
          <w:szCs w:val="24"/>
        </w:rPr>
        <w:t>How did Nissan’s product line strategy help or hurt its ability to respond to and recover from the disaster?</w:t>
      </w:r>
    </w:p>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Times New Roman" w:eastAsia="Times New Roman" w:hAnsi="Times New Roman" w:cs="Times New Roman"/>
          <w:color w:val="000000"/>
        </w:rPr>
        <w:br w:type="textWrapping" w:clear="all"/>
      </w:r>
    </w:p>
    <w:p w:rsidR="00CF6198" w:rsidRPr="00CF6198" w:rsidRDefault="00CF6198" w:rsidP="00CF6198">
      <w:pPr>
        <w:spacing w:after="0" w:line="270" w:lineRule="atLeast"/>
        <w:ind w:left="390" w:right="31" w:hanging="390"/>
        <w:rPr>
          <w:rFonts w:ascii="Arial" w:eastAsia="Times New Roman" w:hAnsi="Arial" w:cs="Arial"/>
          <w:color w:val="000000"/>
          <w:sz w:val="18"/>
          <w:szCs w:val="18"/>
        </w:rPr>
      </w:pPr>
      <w:r w:rsidRPr="00CF6198">
        <w:rPr>
          <w:rFonts w:ascii="Arial" w:eastAsia="Times New Roman" w:hAnsi="Arial" w:cs="Arial"/>
          <w:color w:val="000000"/>
          <w:sz w:val="18"/>
          <w:szCs w:val="18"/>
        </w:rPr>
        <w:t>5.</w:t>
      </w:r>
      <w:r w:rsidRPr="00CF6198">
        <w:rPr>
          <w:rFonts w:ascii="Times New Roman" w:eastAsia="Times New Roman" w:hAnsi="Times New Roman" w:cs="Times New Roman"/>
          <w:color w:val="000000"/>
          <w:sz w:val="14"/>
          <w:szCs w:val="14"/>
        </w:rPr>
        <w:t>       </w:t>
      </w:r>
      <w:r w:rsidRPr="00CF6198">
        <w:rPr>
          <w:rFonts w:ascii="Times New Roman" w:eastAsia="Times New Roman" w:hAnsi="Times New Roman" w:cs="Times New Roman"/>
          <w:color w:val="000000"/>
          <w:sz w:val="14"/>
        </w:rPr>
        <w:t> </w:t>
      </w:r>
      <w:r w:rsidRPr="00CF6198">
        <w:rPr>
          <w:rFonts w:ascii="Arial" w:eastAsia="Times New Roman" w:hAnsi="Arial" w:cs="Arial"/>
          <w:color w:val="000000"/>
          <w:sz w:val="18"/>
          <w:szCs w:val="18"/>
        </w:rPr>
        <w:t>How will the operational changes announced in 2012 affect Nissan’s exposure to future disruptions? How will it affect its steady-state operations? What trade-offs is management making and why?</w:t>
      </w:r>
    </w:p>
    <w:p w:rsidR="00CF6198" w:rsidRPr="00CF6198" w:rsidRDefault="00CF6198" w:rsidP="00CF6198">
      <w:pPr>
        <w:spacing w:after="0" w:line="193" w:lineRule="atLeast"/>
        <w:rPr>
          <w:rFonts w:ascii="Arial" w:eastAsia="Times New Roman" w:hAnsi="Arial" w:cs="Arial"/>
          <w:color w:val="000000"/>
          <w:sz w:val="18"/>
          <w:szCs w:val="18"/>
        </w:rPr>
      </w:pPr>
      <w:r w:rsidRPr="00CF6198">
        <w:rPr>
          <w:rFonts w:ascii="Arial" w:eastAsia="Times New Roman" w:hAnsi="Arial" w:cs="Arial"/>
          <w:color w:val="000000"/>
          <w:sz w:val="20"/>
          <w:szCs w:val="20"/>
        </w:rPr>
        <w:t> </w:t>
      </w:r>
      <w:r w:rsidRPr="00CF6198">
        <w:rPr>
          <w:rFonts w:ascii="Arial" w:eastAsia="Times New Roman" w:hAnsi="Arial" w:cs="Arial"/>
          <w:color w:val="000000"/>
          <w:sz w:val="18"/>
          <w:szCs w:val="18"/>
        </w:rPr>
        <w:t> </w:t>
      </w:r>
    </w:p>
    <w:p w:rsidR="00CF6198" w:rsidRPr="00CF6198" w:rsidRDefault="00CF6198" w:rsidP="00CF6198">
      <w:pPr>
        <w:spacing w:before="150" w:after="150" w:line="300" w:lineRule="atLeast"/>
        <w:ind w:left="-15"/>
        <w:outlineLvl w:val="1"/>
        <w:rPr>
          <w:rFonts w:ascii="Arial" w:eastAsia="Times New Roman" w:hAnsi="Arial" w:cs="Arial"/>
          <w:b/>
          <w:bCs/>
          <w:color w:val="777777"/>
          <w:sz w:val="30"/>
          <w:szCs w:val="30"/>
        </w:rPr>
      </w:pPr>
      <w:r w:rsidRPr="00CF6198">
        <w:rPr>
          <w:rFonts w:ascii="Arial" w:eastAsia="Times New Roman" w:hAnsi="Arial" w:cs="Arial"/>
          <w:b/>
          <w:bCs/>
          <w:color w:val="777777"/>
          <w:sz w:val="30"/>
          <w:szCs w:val="30"/>
        </w:rPr>
        <w:t>Exhibit 1     Production to Sales Ratios for Select Japanese OEMs</w:t>
      </w:r>
    </w:p>
    <w:p w:rsidR="00CF6198" w:rsidRPr="00CF6198" w:rsidRDefault="00CF6198" w:rsidP="00CF6198">
      <w:pPr>
        <w:spacing w:after="97" w:line="193" w:lineRule="atLeast"/>
        <w:ind w:left="942"/>
        <w:rPr>
          <w:rFonts w:ascii="Arial" w:eastAsia="Times New Roman" w:hAnsi="Arial" w:cs="Arial"/>
          <w:color w:val="000000"/>
          <w:sz w:val="18"/>
          <w:szCs w:val="18"/>
        </w:rPr>
      </w:pPr>
      <w:r w:rsidRPr="00CF6198">
        <w:rPr>
          <w:rFonts w:ascii="Arial" w:eastAsia="Times New Roman" w:hAnsi="Arial" w:cs="Arial"/>
          <w:color w:val="000000"/>
          <w:sz w:val="18"/>
          <w:szCs w:val="18"/>
        </w:rPr>
        <w:pict>
          <v:shape id="_x0000_i1026" type="#_x0000_t75" alt="" style="width:290.25pt;height:174.75pt"/>
        </w:pict>
      </w:r>
    </w:p>
    <w:p w:rsidR="00CF6198" w:rsidRPr="00CF6198" w:rsidRDefault="00CF6198" w:rsidP="00CF6198">
      <w:pPr>
        <w:spacing w:after="0" w:line="245" w:lineRule="atLeast"/>
        <w:ind w:left="-5"/>
        <w:rPr>
          <w:rFonts w:ascii="Arial" w:eastAsia="Times New Roman" w:hAnsi="Arial" w:cs="Arial"/>
          <w:color w:val="000000"/>
          <w:sz w:val="18"/>
          <w:szCs w:val="18"/>
        </w:rPr>
      </w:pPr>
      <w:r w:rsidRPr="00CF6198">
        <w:rPr>
          <w:rFonts w:ascii="Arial" w:eastAsia="Times New Roman" w:hAnsi="Arial" w:cs="Arial"/>
          <w:i/>
          <w:iCs/>
          <w:color w:val="000000"/>
          <w:sz w:val="16"/>
        </w:rPr>
        <w:t xml:space="preserve"> Source: Chester Dawson and Neal E. </w:t>
      </w:r>
      <w:proofErr w:type="spellStart"/>
      <w:r w:rsidRPr="00CF6198">
        <w:rPr>
          <w:rFonts w:ascii="Arial" w:eastAsia="Times New Roman" w:hAnsi="Arial" w:cs="Arial"/>
          <w:i/>
          <w:iCs/>
          <w:color w:val="000000"/>
          <w:sz w:val="16"/>
        </w:rPr>
        <w:t>Boudette</w:t>
      </w:r>
      <w:proofErr w:type="spellEnd"/>
      <w:r w:rsidRPr="00CF6198">
        <w:rPr>
          <w:rFonts w:ascii="Arial" w:eastAsia="Times New Roman" w:hAnsi="Arial" w:cs="Arial"/>
          <w:i/>
          <w:iCs/>
          <w:color w:val="000000"/>
          <w:sz w:val="16"/>
        </w:rPr>
        <w:t>, “Too Big in Japan, Toyota Struggles,” Wall Street Journal, May 12, 2011.</w:t>
      </w:r>
    </w:p>
    <w:p w:rsidR="00CF6198" w:rsidRPr="00CF6198" w:rsidRDefault="00CF6198" w:rsidP="00CF6198">
      <w:pPr>
        <w:spacing w:before="150" w:after="150" w:line="300" w:lineRule="atLeast"/>
        <w:ind w:left="-15"/>
        <w:outlineLvl w:val="1"/>
        <w:rPr>
          <w:rFonts w:ascii="Arial" w:eastAsia="Times New Roman" w:hAnsi="Arial" w:cs="Arial"/>
          <w:b/>
          <w:bCs/>
          <w:color w:val="777777"/>
          <w:sz w:val="30"/>
          <w:szCs w:val="30"/>
        </w:rPr>
      </w:pPr>
      <w:r w:rsidRPr="00CF6198">
        <w:rPr>
          <w:rFonts w:ascii="Arial" w:eastAsia="Times New Roman" w:hAnsi="Arial" w:cs="Arial"/>
          <w:b/>
          <w:bCs/>
          <w:color w:val="777777"/>
          <w:sz w:val="30"/>
          <w:szCs w:val="30"/>
        </w:rPr>
        <w:t>Exhibit 2     Initial Damage Reports from Major Japanese Automotive OEMs</w:t>
      </w:r>
    </w:p>
    <w:tbl>
      <w:tblPr>
        <w:tblW w:w="9221" w:type="dxa"/>
        <w:tblInd w:w="-110" w:type="dxa"/>
        <w:tblCellMar>
          <w:left w:w="0" w:type="dxa"/>
          <w:right w:w="0" w:type="dxa"/>
        </w:tblCellMar>
        <w:tblLook w:val="04A0"/>
      </w:tblPr>
      <w:tblGrid>
        <w:gridCol w:w="792"/>
        <w:gridCol w:w="8881"/>
      </w:tblGrid>
      <w:tr w:rsidR="00CF6198" w:rsidRPr="00CF6198" w:rsidTr="00CF6198">
        <w:trPr>
          <w:trHeight w:val="326"/>
        </w:trPr>
        <w:tc>
          <w:tcPr>
            <w:tcW w:w="1733" w:type="dxa"/>
            <w:tcBorders>
              <w:top w:val="single" w:sz="8" w:space="0" w:color="000000"/>
              <w:left w:val="single" w:sz="8" w:space="0" w:color="000000"/>
              <w:bottom w:val="single" w:sz="8" w:space="0" w:color="000000"/>
              <w:right w:val="single" w:sz="8" w:space="0" w:color="000000"/>
            </w:tcBorders>
            <w:tcMar>
              <w:top w:w="26" w:type="dxa"/>
              <w:left w:w="88" w:type="dxa"/>
              <w:bottom w:w="0" w:type="dxa"/>
              <w:right w:w="115" w:type="dxa"/>
            </w:tcMar>
            <w:hideMark/>
          </w:tcPr>
          <w:p w:rsidR="00CF6198" w:rsidRPr="00CF6198" w:rsidRDefault="00CF6198" w:rsidP="00CF6198">
            <w:pPr>
              <w:spacing w:after="0" w:line="193" w:lineRule="atLeast"/>
              <w:ind w:left="23"/>
              <w:rPr>
                <w:rFonts w:ascii="Times New Roman" w:eastAsia="Times New Roman" w:hAnsi="Times New Roman" w:cs="Times New Roman"/>
                <w:color w:val="000000"/>
                <w:sz w:val="24"/>
                <w:szCs w:val="24"/>
              </w:rPr>
            </w:pPr>
            <w:r w:rsidRPr="00CF6198">
              <w:rPr>
                <w:rFonts w:ascii="Calibri" w:eastAsia="Times New Roman" w:hAnsi="Calibri" w:cs="Times New Roman"/>
                <w:b/>
                <w:bCs/>
                <w:color w:val="000000"/>
                <w:sz w:val="24"/>
                <w:szCs w:val="24"/>
              </w:rPr>
              <w:t>Company</w:t>
            </w:r>
          </w:p>
        </w:tc>
        <w:tc>
          <w:tcPr>
            <w:tcW w:w="7488" w:type="dxa"/>
            <w:tcBorders>
              <w:top w:val="single" w:sz="8" w:space="0" w:color="000000"/>
              <w:left w:val="nil"/>
              <w:bottom w:val="single" w:sz="8" w:space="0" w:color="000000"/>
              <w:right w:val="single" w:sz="8" w:space="0" w:color="000000"/>
            </w:tcBorders>
            <w:tcMar>
              <w:top w:w="26" w:type="dxa"/>
              <w:left w:w="88" w:type="dxa"/>
              <w:bottom w:w="0" w:type="dxa"/>
              <w:right w:w="115" w:type="dxa"/>
            </w:tcMar>
            <w:hideMark/>
          </w:tcPr>
          <w:p w:rsidR="00CF6198" w:rsidRPr="00CF6198" w:rsidRDefault="00CF6198" w:rsidP="00CF6198">
            <w:pPr>
              <w:spacing w:after="0" w:line="193" w:lineRule="atLeast"/>
              <w:ind w:left="18"/>
              <w:rPr>
                <w:rFonts w:ascii="Times New Roman" w:eastAsia="Times New Roman" w:hAnsi="Times New Roman" w:cs="Times New Roman"/>
                <w:color w:val="000000"/>
                <w:sz w:val="24"/>
                <w:szCs w:val="24"/>
              </w:rPr>
            </w:pPr>
            <w:r w:rsidRPr="00CF6198">
              <w:rPr>
                <w:rFonts w:ascii="Calibri" w:eastAsia="Times New Roman" w:hAnsi="Calibri" w:cs="Times New Roman"/>
                <w:b/>
                <w:bCs/>
                <w:color w:val="000000"/>
                <w:sz w:val="24"/>
                <w:szCs w:val="24"/>
              </w:rPr>
              <w:t>Damage             status</w:t>
            </w:r>
          </w:p>
        </w:tc>
      </w:tr>
      <w:tr w:rsidR="00CF6198" w:rsidRPr="00CF6198" w:rsidTr="00CF6198">
        <w:trPr>
          <w:trHeight w:val="1502"/>
        </w:trPr>
        <w:tc>
          <w:tcPr>
            <w:tcW w:w="1733" w:type="dxa"/>
            <w:tcBorders>
              <w:top w:val="nil"/>
              <w:left w:val="single" w:sz="8" w:space="0" w:color="000000"/>
              <w:bottom w:val="single" w:sz="8" w:space="0" w:color="000000"/>
              <w:right w:val="single" w:sz="8" w:space="0" w:color="000000"/>
            </w:tcBorders>
            <w:tcMar>
              <w:top w:w="26" w:type="dxa"/>
              <w:left w:w="88" w:type="dxa"/>
              <w:bottom w:w="0" w:type="dxa"/>
              <w:right w:w="115" w:type="dxa"/>
            </w:tcMar>
            <w:hideMark/>
          </w:tcPr>
          <w:p w:rsidR="00CF6198" w:rsidRPr="00CF6198" w:rsidRDefault="00CF6198" w:rsidP="00CF6198">
            <w:pPr>
              <w:spacing w:after="0" w:line="193" w:lineRule="atLeast"/>
              <w:ind w:left="23"/>
              <w:rPr>
                <w:rFonts w:ascii="Times New Roman" w:eastAsia="Times New Roman" w:hAnsi="Times New Roman" w:cs="Times New Roman"/>
                <w:color w:val="000000"/>
                <w:sz w:val="24"/>
                <w:szCs w:val="24"/>
              </w:rPr>
            </w:pPr>
            <w:r w:rsidRPr="00CF6198">
              <w:rPr>
                <w:rFonts w:ascii="Calibri" w:eastAsia="Times New Roman" w:hAnsi="Calibri" w:cs="Times New Roman"/>
                <w:color w:val="000000"/>
                <w:sz w:val="24"/>
                <w:szCs w:val="24"/>
              </w:rPr>
              <w:t>Nissan    Motor</w:t>
            </w:r>
          </w:p>
        </w:tc>
        <w:tc>
          <w:tcPr>
            <w:tcW w:w="7488" w:type="dxa"/>
            <w:tcBorders>
              <w:top w:val="nil"/>
              <w:left w:val="nil"/>
              <w:bottom w:val="single" w:sz="8" w:space="0" w:color="000000"/>
              <w:right w:val="single" w:sz="8" w:space="0" w:color="000000"/>
            </w:tcBorders>
            <w:tcMar>
              <w:top w:w="26" w:type="dxa"/>
              <w:left w:w="88" w:type="dxa"/>
              <w:bottom w:w="0" w:type="dxa"/>
              <w:right w:w="115" w:type="dxa"/>
            </w:tcMar>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Wingdings" w:eastAsia="Times New Roman" w:hAnsi="Wingdings" w:cs="Times New Roman"/>
                <w:color w:val="000000"/>
                <w:sz w:val="24"/>
                <w:szCs w:val="24"/>
              </w:rPr>
              <w:t></w:t>
            </w:r>
            <w:r w:rsidRPr="00CF6198">
              <w:rPr>
                <w:rFonts w:ascii="Wingdings" w:eastAsia="Times New Roman" w:hAnsi="Wingdings" w:cs="Times New Roman"/>
                <w:color w:val="000000"/>
                <w:sz w:val="24"/>
                <w:szCs w:val="24"/>
              </w:rPr>
              <w:t></w:t>
            </w:r>
            <w:r w:rsidRPr="00CF6198">
              <w:rPr>
                <w:rFonts w:ascii="Calibri" w:eastAsia="Times New Roman" w:hAnsi="Calibri" w:cs="Times New Roman"/>
                <w:color w:val="000000"/>
                <w:sz w:val="24"/>
                <w:szCs w:val="24"/>
              </w:rPr>
              <w:t>Fires            broke               out       at         Tochigi             Factory            and         a         foundry            in         Iwaki    </w:t>
            </w:r>
            <w:r w:rsidRPr="00CF6198">
              <w:rPr>
                <w:rFonts w:ascii="Arial" w:eastAsia="Times New Roman" w:hAnsi="Arial" w:cs="Arial"/>
                <w:color w:val="000000"/>
                <w:sz w:val="24"/>
                <w:szCs w:val="24"/>
              </w:rPr>
              <w:t> </w:t>
            </w:r>
          </w:p>
          <w:p w:rsidR="00CF6198" w:rsidRPr="00CF6198" w:rsidRDefault="00CF6198" w:rsidP="00CF6198">
            <w:pPr>
              <w:spacing w:after="0" w:line="270" w:lineRule="atLeast"/>
              <w:ind w:left="360" w:hanging="360"/>
              <w:rPr>
                <w:rFonts w:ascii="Times New Roman" w:eastAsia="Times New Roman" w:hAnsi="Times New Roman" w:cs="Times New Roman"/>
                <w:color w:val="000000"/>
                <w:sz w:val="24"/>
                <w:szCs w:val="24"/>
              </w:rPr>
            </w:pPr>
            <w:r w:rsidRPr="00CF6198">
              <w:rPr>
                <w:rFonts w:ascii="Wingdings" w:eastAsia="Times New Roman" w:hAnsi="Wingdings" w:cs="Times New Roman"/>
                <w:color w:val="000000"/>
                <w:sz w:val="24"/>
                <w:szCs w:val="24"/>
              </w:rPr>
              <w:t></w:t>
            </w:r>
            <w:r w:rsidRPr="00CF6198">
              <w:rPr>
                <w:rFonts w:ascii="Wingdings" w:eastAsia="Times New Roman" w:hAnsi="Wingdings" w:cs="Times New Roman"/>
                <w:color w:val="000000"/>
                <w:sz w:val="24"/>
                <w:szCs w:val="24"/>
              </w:rPr>
              <w:t></w:t>
            </w:r>
            <w:r w:rsidRPr="00CF6198">
              <w:rPr>
                <w:rFonts w:ascii="Calibri" w:eastAsia="Times New Roman" w:hAnsi="Calibri" w:cs="Times New Roman"/>
                <w:color w:val="000000"/>
                <w:sz w:val="24"/>
                <w:szCs w:val="24"/>
              </w:rPr>
              <w:t xml:space="preserve">Damage      to         the       Tochigi             Factory,           Iwaki    Factory         (engines),        Yokohama       Factory            (engines,          etc.),             </w:t>
            </w:r>
            <w:proofErr w:type="spellStart"/>
            <w:r w:rsidRPr="00CF6198">
              <w:rPr>
                <w:rFonts w:ascii="Calibri" w:eastAsia="Times New Roman" w:hAnsi="Calibri" w:cs="Times New Roman"/>
                <w:color w:val="000000"/>
                <w:sz w:val="24"/>
                <w:szCs w:val="24"/>
              </w:rPr>
              <w:t>Oppama</w:t>
            </w:r>
            <w:proofErr w:type="spellEnd"/>
            <w:r w:rsidRPr="00CF6198">
              <w:rPr>
                <w:rFonts w:ascii="Calibri" w:eastAsia="Times New Roman" w:hAnsi="Calibri" w:cs="Times New Roman"/>
                <w:color w:val="000000"/>
                <w:sz w:val="24"/>
                <w:szCs w:val="24"/>
              </w:rPr>
              <w:t>          Factory            and      Zama    Works              (lithium-</w:t>
            </w:r>
            <w:r w:rsidRPr="00CF6198">
              <w:rPr>
                <w:rFonts w:ascii="Calibri" w:eastAsia="Times New Roman" w:hAnsi="Calibri" w:cs="Times New Roman"/>
                <w:color w:val="000000"/>
                <w:sz w:val="24"/>
                <w:szCs w:val="24"/>
              </w:rPr>
              <w:softHyphen/>
              <w:t>‐ion            batteries,         etc.)</w:t>
            </w:r>
          </w:p>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Wingdings" w:eastAsia="Times New Roman" w:hAnsi="Wingdings" w:cs="Times New Roman"/>
                <w:color w:val="000000"/>
                <w:sz w:val="24"/>
                <w:szCs w:val="24"/>
              </w:rPr>
              <w:t></w:t>
            </w:r>
            <w:r w:rsidRPr="00CF6198">
              <w:rPr>
                <w:rFonts w:ascii="Wingdings" w:eastAsia="Times New Roman" w:hAnsi="Wingdings" w:cs="Times New Roman"/>
                <w:color w:val="000000"/>
                <w:sz w:val="24"/>
                <w:szCs w:val="24"/>
              </w:rPr>
              <w:t></w:t>
            </w:r>
            <w:r w:rsidRPr="00CF6198">
              <w:rPr>
                <w:rFonts w:ascii="Calibri" w:eastAsia="Times New Roman" w:hAnsi="Calibri" w:cs="Times New Roman"/>
                <w:color w:val="000000"/>
                <w:sz w:val="24"/>
                <w:szCs w:val="24"/>
              </w:rPr>
              <w:t>It     will       take     some    time     before              the       Iwaki    Factory               is          repaired</w:t>
            </w:r>
          </w:p>
        </w:tc>
      </w:tr>
      <w:tr w:rsidR="00CF6198" w:rsidRPr="00CF6198" w:rsidTr="00CF6198">
        <w:trPr>
          <w:trHeight w:val="912"/>
        </w:trPr>
        <w:tc>
          <w:tcPr>
            <w:tcW w:w="1733" w:type="dxa"/>
            <w:tcBorders>
              <w:top w:val="nil"/>
              <w:left w:val="single" w:sz="8" w:space="0" w:color="000000"/>
              <w:bottom w:val="single" w:sz="8" w:space="0" w:color="000000"/>
              <w:right w:val="single" w:sz="8" w:space="0" w:color="000000"/>
            </w:tcBorders>
            <w:tcMar>
              <w:top w:w="26" w:type="dxa"/>
              <w:left w:w="88" w:type="dxa"/>
              <w:bottom w:w="0" w:type="dxa"/>
              <w:right w:w="115" w:type="dxa"/>
            </w:tcMar>
            <w:hideMark/>
          </w:tcPr>
          <w:p w:rsidR="00CF6198" w:rsidRPr="00CF6198" w:rsidRDefault="00CF6198" w:rsidP="00CF6198">
            <w:pPr>
              <w:spacing w:after="0" w:line="193" w:lineRule="atLeast"/>
              <w:ind w:left="23"/>
              <w:rPr>
                <w:rFonts w:ascii="Times New Roman" w:eastAsia="Times New Roman" w:hAnsi="Times New Roman" w:cs="Times New Roman"/>
                <w:color w:val="000000"/>
                <w:sz w:val="24"/>
                <w:szCs w:val="24"/>
              </w:rPr>
            </w:pPr>
            <w:r w:rsidRPr="00CF6198">
              <w:rPr>
                <w:rFonts w:ascii="Calibri" w:eastAsia="Times New Roman" w:hAnsi="Calibri" w:cs="Times New Roman"/>
                <w:color w:val="000000"/>
                <w:sz w:val="24"/>
                <w:szCs w:val="24"/>
              </w:rPr>
              <w:t>Toyota    Motor</w:t>
            </w:r>
          </w:p>
        </w:tc>
        <w:tc>
          <w:tcPr>
            <w:tcW w:w="7488" w:type="dxa"/>
            <w:tcBorders>
              <w:top w:val="nil"/>
              <w:left w:val="nil"/>
              <w:bottom w:val="single" w:sz="8" w:space="0" w:color="000000"/>
              <w:right w:val="single" w:sz="8" w:space="0" w:color="000000"/>
            </w:tcBorders>
            <w:tcMar>
              <w:top w:w="26" w:type="dxa"/>
              <w:left w:w="88" w:type="dxa"/>
              <w:bottom w:w="0" w:type="dxa"/>
              <w:right w:w="115" w:type="dxa"/>
            </w:tcMar>
            <w:hideMark/>
          </w:tcPr>
          <w:p w:rsidR="00CF6198" w:rsidRPr="00CF6198" w:rsidRDefault="00CF6198" w:rsidP="00CF6198">
            <w:pPr>
              <w:spacing w:after="0" w:line="193" w:lineRule="atLeast"/>
              <w:ind w:left="360" w:hanging="360"/>
              <w:rPr>
                <w:rFonts w:ascii="Times New Roman" w:eastAsia="Times New Roman" w:hAnsi="Times New Roman" w:cs="Times New Roman"/>
                <w:color w:val="000000"/>
                <w:sz w:val="24"/>
                <w:szCs w:val="24"/>
              </w:rPr>
            </w:pPr>
            <w:r w:rsidRPr="00CF6198">
              <w:rPr>
                <w:rFonts w:ascii="Wingdings" w:eastAsia="Times New Roman" w:hAnsi="Wingdings" w:cs="Times New Roman"/>
                <w:color w:val="000000"/>
                <w:sz w:val="24"/>
                <w:szCs w:val="24"/>
              </w:rPr>
              <w:t></w:t>
            </w:r>
            <w:r w:rsidRPr="00CF6198">
              <w:rPr>
                <w:rFonts w:ascii="Wingdings" w:eastAsia="Times New Roman" w:hAnsi="Wingdings" w:cs="Times New Roman"/>
                <w:color w:val="000000"/>
                <w:sz w:val="24"/>
                <w:szCs w:val="24"/>
              </w:rPr>
              <w:t></w:t>
            </w:r>
            <w:r w:rsidRPr="00CF6198">
              <w:rPr>
                <w:rFonts w:ascii="Calibri" w:eastAsia="Times New Roman" w:hAnsi="Calibri" w:cs="Times New Roman"/>
                <w:color w:val="000000"/>
                <w:sz w:val="24"/>
                <w:szCs w:val="24"/>
              </w:rPr>
              <w:t>Partially      damaged         facilities           at         the       Iwate    Factory         (subsidiary       Kanto               Auto     Works),            Miyagi          Factory(subsidiary       Central            Motor),            and      Tohoku         Factory            (parts)</w:t>
            </w:r>
          </w:p>
        </w:tc>
      </w:tr>
      <w:tr w:rsidR="00CF6198" w:rsidRPr="00CF6198" w:rsidTr="00CF6198">
        <w:trPr>
          <w:trHeight w:val="326"/>
        </w:trPr>
        <w:tc>
          <w:tcPr>
            <w:tcW w:w="1733" w:type="dxa"/>
            <w:tcBorders>
              <w:top w:val="nil"/>
              <w:left w:val="single" w:sz="8" w:space="0" w:color="000000"/>
              <w:bottom w:val="single" w:sz="8" w:space="0" w:color="000000"/>
              <w:right w:val="single" w:sz="8" w:space="0" w:color="000000"/>
            </w:tcBorders>
            <w:tcMar>
              <w:top w:w="26" w:type="dxa"/>
              <w:left w:w="88" w:type="dxa"/>
              <w:bottom w:w="0" w:type="dxa"/>
              <w:right w:w="115" w:type="dxa"/>
            </w:tcMar>
            <w:hideMark/>
          </w:tcPr>
          <w:p w:rsidR="00CF6198" w:rsidRPr="00CF6198" w:rsidRDefault="00CF6198" w:rsidP="00CF6198">
            <w:pPr>
              <w:spacing w:after="0" w:line="193" w:lineRule="atLeast"/>
              <w:ind w:left="23"/>
              <w:rPr>
                <w:rFonts w:ascii="Times New Roman" w:eastAsia="Times New Roman" w:hAnsi="Times New Roman" w:cs="Times New Roman"/>
                <w:color w:val="000000"/>
                <w:sz w:val="24"/>
                <w:szCs w:val="24"/>
              </w:rPr>
            </w:pPr>
            <w:r w:rsidRPr="00CF6198">
              <w:rPr>
                <w:rFonts w:ascii="Calibri" w:eastAsia="Times New Roman" w:hAnsi="Calibri" w:cs="Times New Roman"/>
                <w:color w:val="000000"/>
                <w:sz w:val="24"/>
                <w:szCs w:val="24"/>
              </w:rPr>
              <w:t>Honda    Motor</w:t>
            </w:r>
          </w:p>
        </w:tc>
        <w:tc>
          <w:tcPr>
            <w:tcW w:w="7488" w:type="dxa"/>
            <w:tcBorders>
              <w:top w:val="nil"/>
              <w:left w:val="nil"/>
              <w:bottom w:val="single" w:sz="8" w:space="0" w:color="000000"/>
              <w:right w:val="single" w:sz="8" w:space="0" w:color="000000"/>
            </w:tcBorders>
            <w:tcMar>
              <w:top w:w="26" w:type="dxa"/>
              <w:left w:w="88" w:type="dxa"/>
              <w:bottom w:w="0" w:type="dxa"/>
              <w:right w:w="115" w:type="dxa"/>
            </w:tcMar>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Wingdings" w:eastAsia="Times New Roman" w:hAnsi="Wingdings" w:cs="Times New Roman"/>
                <w:color w:val="000000"/>
                <w:sz w:val="24"/>
                <w:szCs w:val="24"/>
              </w:rPr>
              <w:t></w:t>
            </w:r>
            <w:r w:rsidRPr="00CF6198">
              <w:rPr>
                <w:rFonts w:ascii="Wingdings" w:eastAsia="Times New Roman" w:hAnsi="Wingdings" w:cs="Times New Roman"/>
                <w:color w:val="000000"/>
                <w:sz w:val="24"/>
                <w:szCs w:val="24"/>
              </w:rPr>
              <w:t></w:t>
            </w:r>
            <w:r w:rsidRPr="00CF6198">
              <w:rPr>
                <w:rFonts w:ascii="Calibri" w:eastAsia="Times New Roman" w:hAnsi="Calibri" w:cs="Times New Roman"/>
                <w:color w:val="000000"/>
                <w:sz w:val="24"/>
                <w:szCs w:val="24"/>
              </w:rPr>
              <w:t xml:space="preserve">Some           damage           in         </w:t>
            </w:r>
            <w:proofErr w:type="spellStart"/>
            <w:r w:rsidRPr="00CF6198">
              <w:rPr>
                <w:rFonts w:ascii="Calibri" w:eastAsia="Times New Roman" w:hAnsi="Calibri" w:cs="Times New Roman"/>
                <w:color w:val="000000"/>
                <w:sz w:val="24"/>
                <w:szCs w:val="24"/>
              </w:rPr>
              <w:t>to</w:t>
            </w:r>
            <w:proofErr w:type="spellEnd"/>
            <w:r w:rsidRPr="00CF6198">
              <w:rPr>
                <w:rFonts w:ascii="Calibri" w:eastAsia="Times New Roman" w:hAnsi="Calibri" w:cs="Times New Roman"/>
                <w:color w:val="000000"/>
                <w:sz w:val="24"/>
                <w:szCs w:val="24"/>
              </w:rPr>
              <w:t>         facilities           in         Tochigi    Prefecture</w:t>
            </w:r>
          </w:p>
        </w:tc>
      </w:tr>
      <w:tr w:rsidR="00CF6198" w:rsidRPr="00CF6198" w:rsidTr="00CF6198">
        <w:trPr>
          <w:trHeight w:val="331"/>
        </w:trPr>
        <w:tc>
          <w:tcPr>
            <w:tcW w:w="1733" w:type="dxa"/>
            <w:tcBorders>
              <w:top w:val="nil"/>
              <w:left w:val="single" w:sz="8" w:space="0" w:color="000000"/>
              <w:bottom w:val="single" w:sz="8" w:space="0" w:color="000000"/>
              <w:right w:val="single" w:sz="8" w:space="0" w:color="000000"/>
            </w:tcBorders>
            <w:tcMar>
              <w:top w:w="26" w:type="dxa"/>
              <w:left w:w="88" w:type="dxa"/>
              <w:bottom w:w="0" w:type="dxa"/>
              <w:right w:w="115" w:type="dxa"/>
            </w:tcMar>
            <w:hideMark/>
          </w:tcPr>
          <w:p w:rsidR="00CF6198" w:rsidRPr="00CF6198" w:rsidRDefault="00CF6198" w:rsidP="00CF6198">
            <w:pPr>
              <w:spacing w:after="0" w:line="193" w:lineRule="atLeast"/>
              <w:ind w:left="23"/>
              <w:rPr>
                <w:rFonts w:ascii="Times New Roman" w:eastAsia="Times New Roman" w:hAnsi="Times New Roman" w:cs="Times New Roman"/>
                <w:color w:val="000000"/>
                <w:sz w:val="24"/>
                <w:szCs w:val="24"/>
              </w:rPr>
            </w:pPr>
            <w:r w:rsidRPr="00CF6198">
              <w:rPr>
                <w:rFonts w:ascii="Calibri" w:eastAsia="Times New Roman" w:hAnsi="Calibri" w:cs="Times New Roman"/>
                <w:color w:val="000000"/>
                <w:sz w:val="24"/>
                <w:szCs w:val="24"/>
              </w:rPr>
              <w:t>Mazda    Motor</w:t>
            </w:r>
          </w:p>
        </w:tc>
        <w:tc>
          <w:tcPr>
            <w:tcW w:w="7488" w:type="dxa"/>
            <w:tcBorders>
              <w:top w:val="nil"/>
              <w:left w:val="nil"/>
              <w:bottom w:val="single" w:sz="8" w:space="0" w:color="000000"/>
              <w:right w:val="single" w:sz="8" w:space="0" w:color="000000"/>
            </w:tcBorders>
            <w:tcMar>
              <w:top w:w="26" w:type="dxa"/>
              <w:left w:w="88" w:type="dxa"/>
              <w:bottom w:w="0" w:type="dxa"/>
              <w:right w:w="115" w:type="dxa"/>
            </w:tcMar>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Wingdings" w:eastAsia="Times New Roman" w:hAnsi="Wingdings" w:cs="Times New Roman"/>
                <w:color w:val="000000"/>
                <w:sz w:val="24"/>
                <w:szCs w:val="24"/>
              </w:rPr>
              <w:t></w:t>
            </w:r>
            <w:r w:rsidRPr="00CF6198">
              <w:rPr>
                <w:rFonts w:ascii="Wingdings" w:eastAsia="Times New Roman" w:hAnsi="Wingdings" w:cs="Times New Roman"/>
                <w:color w:val="000000"/>
                <w:sz w:val="24"/>
                <w:szCs w:val="24"/>
              </w:rPr>
              <w:t></w:t>
            </w:r>
            <w:r w:rsidRPr="00CF6198">
              <w:rPr>
                <w:rFonts w:ascii="Calibri" w:eastAsia="Times New Roman" w:hAnsi="Calibri" w:cs="Times New Roman"/>
                <w:color w:val="000000"/>
                <w:sz w:val="24"/>
                <w:szCs w:val="24"/>
              </w:rPr>
              <w:t>No               major               direct               impact</w:t>
            </w:r>
          </w:p>
        </w:tc>
      </w:tr>
      <w:tr w:rsidR="00CF6198" w:rsidRPr="00CF6198" w:rsidTr="00CF6198">
        <w:trPr>
          <w:trHeight w:val="326"/>
        </w:trPr>
        <w:tc>
          <w:tcPr>
            <w:tcW w:w="1733" w:type="dxa"/>
            <w:tcBorders>
              <w:top w:val="nil"/>
              <w:left w:val="single" w:sz="8" w:space="0" w:color="000000"/>
              <w:bottom w:val="single" w:sz="8" w:space="0" w:color="000000"/>
              <w:right w:val="single" w:sz="8" w:space="0" w:color="000000"/>
            </w:tcBorders>
            <w:tcMar>
              <w:top w:w="26" w:type="dxa"/>
              <w:left w:w="88" w:type="dxa"/>
              <w:bottom w:w="0" w:type="dxa"/>
              <w:right w:w="115" w:type="dxa"/>
            </w:tcMar>
            <w:hideMark/>
          </w:tcPr>
          <w:p w:rsidR="00CF6198" w:rsidRPr="00CF6198" w:rsidRDefault="00CF6198" w:rsidP="00CF6198">
            <w:pPr>
              <w:spacing w:after="0" w:line="193" w:lineRule="atLeast"/>
              <w:ind w:left="23"/>
              <w:rPr>
                <w:rFonts w:ascii="Times New Roman" w:eastAsia="Times New Roman" w:hAnsi="Times New Roman" w:cs="Times New Roman"/>
                <w:color w:val="000000"/>
                <w:sz w:val="24"/>
                <w:szCs w:val="24"/>
              </w:rPr>
            </w:pPr>
            <w:r w:rsidRPr="00CF6198">
              <w:rPr>
                <w:rFonts w:ascii="Calibri" w:eastAsia="Times New Roman" w:hAnsi="Calibri" w:cs="Times New Roman"/>
                <w:color w:val="000000"/>
                <w:sz w:val="24"/>
                <w:szCs w:val="24"/>
              </w:rPr>
              <w:t>Suzuki     Motor</w:t>
            </w:r>
          </w:p>
        </w:tc>
        <w:tc>
          <w:tcPr>
            <w:tcW w:w="7488" w:type="dxa"/>
            <w:tcBorders>
              <w:top w:val="nil"/>
              <w:left w:val="nil"/>
              <w:bottom w:val="single" w:sz="8" w:space="0" w:color="000000"/>
              <w:right w:val="single" w:sz="8" w:space="0" w:color="000000"/>
            </w:tcBorders>
            <w:tcMar>
              <w:top w:w="26" w:type="dxa"/>
              <w:left w:w="88" w:type="dxa"/>
              <w:bottom w:w="0" w:type="dxa"/>
              <w:right w:w="115" w:type="dxa"/>
            </w:tcMar>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Wingdings" w:eastAsia="Times New Roman" w:hAnsi="Wingdings" w:cs="Times New Roman"/>
                <w:color w:val="000000"/>
                <w:sz w:val="24"/>
                <w:szCs w:val="24"/>
              </w:rPr>
              <w:t></w:t>
            </w:r>
            <w:r w:rsidRPr="00CF6198">
              <w:rPr>
                <w:rFonts w:ascii="Wingdings" w:eastAsia="Times New Roman" w:hAnsi="Wingdings" w:cs="Times New Roman"/>
                <w:color w:val="000000"/>
                <w:sz w:val="24"/>
                <w:szCs w:val="24"/>
              </w:rPr>
              <w:t></w:t>
            </w:r>
            <w:r w:rsidRPr="00CF6198">
              <w:rPr>
                <w:rFonts w:ascii="Calibri" w:eastAsia="Times New Roman" w:hAnsi="Calibri" w:cs="Times New Roman"/>
                <w:color w:val="000000"/>
                <w:sz w:val="24"/>
                <w:szCs w:val="24"/>
              </w:rPr>
              <w:t>No               major               direct               impact</w:t>
            </w:r>
          </w:p>
        </w:tc>
      </w:tr>
    </w:tbl>
    <w:p w:rsidR="00CF6198" w:rsidRPr="00CF6198" w:rsidRDefault="00CF6198" w:rsidP="00CF6198">
      <w:pPr>
        <w:spacing w:after="0" w:line="245" w:lineRule="atLeast"/>
        <w:ind w:left="-5"/>
        <w:rPr>
          <w:rFonts w:ascii="Arial" w:eastAsia="Times New Roman" w:hAnsi="Arial" w:cs="Arial"/>
          <w:color w:val="000000"/>
          <w:sz w:val="18"/>
          <w:szCs w:val="18"/>
        </w:rPr>
      </w:pPr>
      <w:r w:rsidRPr="00CF6198">
        <w:rPr>
          <w:rFonts w:ascii="Arial" w:eastAsia="Times New Roman" w:hAnsi="Arial" w:cs="Arial"/>
          <w:i/>
          <w:iCs/>
          <w:color w:val="000000"/>
          <w:sz w:val="16"/>
        </w:rPr>
        <w:t xml:space="preserve">Source: </w:t>
      </w:r>
      <w:proofErr w:type="spellStart"/>
      <w:r w:rsidRPr="00CF6198">
        <w:rPr>
          <w:rFonts w:ascii="Arial" w:eastAsia="Times New Roman" w:hAnsi="Arial" w:cs="Arial"/>
          <w:i/>
          <w:iCs/>
          <w:color w:val="000000"/>
          <w:sz w:val="16"/>
        </w:rPr>
        <w:t>Kohei</w:t>
      </w:r>
      <w:proofErr w:type="spellEnd"/>
      <w:r w:rsidRPr="00CF6198">
        <w:rPr>
          <w:rFonts w:ascii="Arial" w:eastAsia="Times New Roman" w:hAnsi="Arial" w:cs="Arial"/>
          <w:i/>
          <w:iCs/>
          <w:color w:val="000000"/>
          <w:sz w:val="16"/>
        </w:rPr>
        <w:t xml:space="preserve"> Takahashi, “Autos and Auto Parts,” J.P. Morgan Equity Research, March 22, 2011.</w:t>
      </w:r>
    </w:p>
    <w:p w:rsidR="00CF6198" w:rsidRPr="00CF6198" w:rsidRDefault="00CF6198" w:rsidP="00CF6198">
      <w:pPr>
        <w:spacing w:after="0" w:line="193" w:lineRule="atLeast"/>
        <w:rPr>
          <w:rFonts w:ascii="Arial" w:eastAsia="Times New Roman" w:hAnsi="Arial" w:cs="Arial"/>
          <w:color w:val="000000"/>
          <w:sz w:val="18"/>
          <w:szCs w:val="18"/>
        </w:rPr>
      </w:pPr>
      <w:r w:rsidRPr="00CF6198">
        <w:rPr>
          <w:rFonts w:ascii="Arial" w:eastAsia="Times New Roman" w:hAnsi="Arial" w:cs="Arial"/>
          <w:i/>
          <w:iCs/>
          <w:color w:val="000000"/>
          <w:sz w:val="20"/>
        </w:rPr>
        <w:t> </w:t>
      </w:r>
    </w:p>
    <w:p w:rsidR="00CF6198" w:rsidRPr="00CF6198" w:rsidRDefault="00CF6198" w:rsidP="00CF6198">
      <w:pPr>
        <w:spacing w:after="0" w:line="193" w:lineRule="atLeast"/>
        <w:rPr>
          <w:rFonts w:ascii="Arial" w:eastAsia="Times New Roman" w:hAnsi="Arial" w:cs="Arial"/>
          <w:color w:val="000000"/>
          <w:sz w:val="18"/>
          <w:szCs w:val="18"/>
        </w:rPr>
      </w:pPr>
      <w:r w:rsidRPr="00CF6198">
        <w:rPr>
          <w:rFonts w:ascii="Arial" w:eastAsia="Times New Roman" w:hAnsi="Arial" w:cs="Arial"/>
          <w:b/>
          <w:bCs/>
          <w:i/>
          <w:iCs/>
          <w:color w:val="000000"/>
          <w:sz w:val="20"/>
        </w:rPr>
        <w:t> </w:t>
      </w:r>
    </w:p>
    <w:p w:rsidR="00CF6198" w:rsidRPr="00CF6198" w:rsidRDefault="00CF6198" w:rsidP="00CF6198">
      <w:pPr>
        <w:spacing w:after="0" w:line="193" w:lineRule="atLeast"/>
        <w:rPr>
          <w:rFonts w:ascii="Arial" w:eastAsia="Times New Roman" w:hAnsi="Arial" w:cs="Arial"/>
          <w:color w:val="000000"/>
          <w:sz w:val="18"/>
          <w:szCs w:val="18"/>
        </w:rPr>
      </w:pPr>
      <w:r w:rsidRPr="00CF6198">
        <w:rPr>
          <w:rFonts w:ascii="Arial" w:eastAsia="Times New Roman" w:hAnsi="Arial" w:cs="Arial"/>
          <w:b/>
          <w:bCs/>
          <w:i/>
          <w:iCs/>
          <w:color w:val="000000"/>
          <w:sz w:val="20"/>
        </w:rPr>
        <w:t> </w:t>
      </w:r>
    </w:p>
    <w:p w:rsidR="00CF6198" w:rsidRPr="00CF6198" w:rsidRDefault="00CF6198" w:rsidP="00CF6198">
      <w:pPr>
        <w:spacing w:after="0" w:line="193" w:lineRule="atLeast"/>
        <w:rPr>
          <w:rFonts w:ascii="Arial" w:eastAsia="Times New Roman" w:hAnsi="Arial" w:cs="Arial"/>
          <w:color w:val="000000"/>
          <w:sz w:val="18"/>
          <w:szCs w:val="18"/>
        </w:rPr>
      </w:pPr>
      <w:r w:rsidRPr="00CF6198">
        <w:rPr>
          <w:rFonts w:ascii="Arial" w:eastAsia="Times New Roman" w:hAnsi="Arial" w:cs="Arial"/>
          <w:b/>
          <w:bCs/>
          <w:i/>
          <w:iCs/>
          <w:color w:val="000000"/>
          <w:sz w:val="20"/>
        </w:rPr>
        <w:t> </w:t>
      </w:r>
    </w:p>
    <w:p w:rsidR="00CF6198" w:rsidRPr="00CF6198" w:rsidRDefault="00CF6198" w:rsidP="00CF6198">
      <w:pPr>
        <w:spacing w:after="0" w:line="198" w:lineRule="atLeast"/>
        <w:ind w:left="-15"/>
        <w:rPr>
          <w:rFonts w:ascii="Arial" w:eastAsia="Times New Roman" w:hAnsi="Arial" w:cs="Arial"/>
          <w:color w:val="000000"/>
          <w:sz w:val="18"/>
          <w:szCs w:val="18"/>
        </w:rPr>
      </w:pPr>
      <w:r w:rsidRPr="00CF6198">
        <w:rPr>
          <w:rFonts w:ascii="Arial" w:eastAsia="Times New Roman" w:hAnsi="Arial" w:cs="Arial"/>
          <w:b/>
          <w:bCs/>
          <w:i/>
          <w:iCs/>
          <w:color w:val="000000"/>
          <w:sz w:val="20"/>
        </w:rPr>
        <w:t>Exhibit 3     Select Nissan Financials, 2009-2011, (millions of yen)</w:t>
      </w:r>
    </w:p>
    <w:p w:rsidR="00CF6198" w:rsidRPr="00CF6198" w:rsidRDefault="00CF6198" w:rsidP="00CF6198">
      <w:pPr>
        <w:spacing w:after="0" w:line="321" w:lineRule="atLeast"/>
        <w:outlineLvl w:val="1"/>
        <w:rPr>
          <w:rFonts w:ascii="Arial" w:eastAsia="Times New Roman" w:hAnsi="Arial" w:cs="Arial"/>
          <w:b/>
          <w:bCs/>
          <w:color w:val="777777"/>
          <w:sz w:val="30"/>
          <w:szCs w:val="30"/>
        </w:rPr>
      </w:pPr>
      <w:r w:rsidRPr="00CF6198">
        <w:rPr>
          <w:rFonts w:ascii="Times New Roman" w:eastAsia="Times New Roman" w:hAnsi="Times New Roman" w:cs="Times New Roman"/>
          <w:color w:val="777777"/>
        </w:rPr>
        <w:lastRenderedPageBreak/>
        <w:t>                                                                </w:t>
      </w:r>
      <w:r w:rsidRPr="00CF6198">
        <w:rPr>
          <w:rFonts w:ascii="Times New Roman" w:eastAsia="Times New Roman" w:hAnsi="Times New Roman" w:cs="Times New Roman"/>
          <w:b/>
          <w:bCs/>
          <w:color w:val="777777"/>
        </w:rPr>
        <w:t>2009                 2010                 2011</w:t>
      </w:r>
    </w:p>
    <w:p w:rsidR="00CF6198" w:rsidRPr="00CF6198" w:rsidRDefault="00CF6198" w:rsidP="00CF6198">
      <w:pPr>
        <w:spacing w:after="28" w:line="193" w:lineRule="atLeast"/>
        <w:ind w:left="3331"/>
        <w:rPr>
          <w:rFonts w:ascii="Arial" w:eastAsia="Times New Roman" w:hAnsi="Arial" w:cs="Arial"/>
          <w:color w:val="000000"/>
          <w:sz w:val="18"/>
          <w:szCs w:val="18"/>
        </w:rPr>
      </w:pPr>
      <w:r w:rsidRPr="00CF6198">
        <w:rPr>
          <w:rFonts w:ascii="Arial" w:eastAsia="Times New Roman" w:hAnsi="Arial" w:cs="Arial"/>
          <w:color w:val="000000"/>
          <w:sz w:val="18"/>
          <w:szCs w:val="18"/>
        </w:rPr>
        <w:pict>
          <v:shape id="_x0000_i1027" type="#_x0000_t75" alt="" style="width:3in;height:.75pt"/>
        </w:pict>
      </w:r>
    </w:p>
    <w:tbl>
      <w:tblPr>
        <w:tblW w:w="7595" w:type="dxa"/>
        <w:tblCellMar>
          <w:left w:w="0" w:type="dxa"/>
          <w:right w:w="0" w:type="dxa"/>
        </w:tblCellMar>
        <w:tblLook w:val="04A0"/>
      </w:tblPr>
      <w:tblGrid>
        <w:gridCol w:w="3763"/>
        <w:gridCol w:w="1436"/>
        <w:gridCol w:w="1436"/>
        <w:gridCol w:w="960"/>
      </w:tblGrid>
      <w:tr w:rsidR="00CF6198" w:rsidRPr="00CF6198" w:rsidTr="00CF6198">
        <w:trPr>
          <w:trHeight w:val="283"/>
        </w:trPr>
        <w:tc>
          <w:tcPr>
            <w:tcW w:w="3781"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Revenue</w:t>
            </w:r>
          </w:p>
        </w:tc>
        <w:tc>
          <w:tcPr>
            <w:tcW w:w="1440"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8,436,974</w:t>
            </w:r>
          </w:p>
        </w:tc>
        <w:tc>
          <w:tcPr>
            <w:tcW w:w="1440"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7,517,277</w:t>
            </w:r>
          </w:p>
        </w:tc>
        <w:tc>
          <w:tcPr>
            <w:tcW w:w="934"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8,773,093</w:t>
            </w:r>
          </w:p>
        </w:tc>
      </w:tr>
      <w:tr w:rsidR="00CF6198" w:rsidRPr="00CF6198" w:rsidTr="00CF6198">
        <w:trPr>
          <w:trHeight w:val="307"/>
        </w:trPr>
        <w:tc>
          <w:tcPr>
            <w:tcW w:w="3781"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u w:val="single"/>
              </w:rPr>
              <w:t>Cost of Goods Sold</w:t>
            </w:r>
          </w:p>
        </w:tc>
        <w:tc>
          <w:tcPr>
            <w:tcW w:w="1440"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7,118,862</w:t>
            </w:r>
          </w:p>
        </w:tc>
        <w:tc>
          <w:tcPr>
            <w:tcW w:w="1440"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u w:val="single"/>
              </w:rPr>
              <w:t>6,146,219</w:t>
            </w:r>
          </w:p>
        </w:tc>
        <w:tc>
          <w:tcPr>
            <w:tcW w:w="934"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u w:val="single"/>
              </w:rPr>
              <w:t>7,155,100</w:t>
            </w:r>
          </w:p>
        </w:tc>
      </w:tr>
      <w:tr w:rsidR="00CF6198" w:rsidRPr="00CF6198" w:rsidTr="00CF6198">
        <w:trPr>
          <w:trHeight w:val="302"/>
        </w:trPr>
        <w:tc>
          <w:tcPr>
            <w:tcW w:w="3781"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Gross Profit</w:t>
            </w:r>
          </w:p>
        </w:tc>
        <w:tc>
          <w:tcPr>
            <w:tcW w:w="1440"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1,318,112</w:t>
            </w:r>
          </w:p>
        </w:tc>
        <w:tc>
          <w:tcPr>
            <w:tcW w:w="1440"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1,371,058</w:t>
            </w:r>
          </w:p>
        </w:tc>
        <w:tc>
          <w:tcPr>
            <w:tcW w:w="934"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1,617,993</w:t>
            </w:r>
          </w:p>
        </w:tc>
      </w:tr>
      <w:tr w:rsidR="00CF6198" w:rsidRPr="00CF6198" w:rsidTr="00CF6198">
        <w:trPr>
          <w:trHeight w:val="302"/>
        </w:trPr>
        <w:tc>
          <w:tcPr>
            <w:tcW w:w="3781"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Operating Expenses</w:t>
            </w:r>
          </w:p>
        </w:tc>
        <w:tc>
          <w:tcPr>
            <w:tcW w:w="1440" w:type="dxa"/>
            <w:hideMark/>
          </w:tcPr>
          <w:p w:rsidR="00CF6198" w:rsidRPr="00CF6198" w:rsidRDefault="00CF6198" w:rsidP="00CF6198">
            <w:pPr>
              <w:spacing w:after="0" w:line="193" w:lineRule="atLeast"/>
              <w:ind w:left="374"/>
              <w:jc w:val="center"/>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tc>
        <w:tc>
          <w:tcPr>
            <w:tcW w:w="1440" w:type="dxa"/>
            <w:hideMark/>
          </w:tcPr>
          <w:p w:rsidR="00CF6198" w:rsidRPr="00CF6198" w:rsidRDefault="00CF6198" w:rsidP="00CF6198">
            <w:pPr>
              <w:spacing w:after="0" w:line="193" w:lineRule="atLeast"/>
              <w:ind w:left="374"/>
              <w:jc w:val="center"/>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tc>
        <w:tc>
          <w:tcPr>
            <w:tcW w:w="934" w:type="dxa"/>
            <w:hideMark/>
          </w:tcPr>
          <w:p w:rsidR="00CF6198" w:rsidRPr="00CF6198" w:rsidRDefault="00CF6198" w:rsidP="00CF6198">
            <w:pPr>
              <w:spacing w:after="0" w:line="193" w:lineRule="atLeast"/>
              <w:jc w:val="righ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 </w:t>
            </w:r>
          </w:p>
        </w:tc>
      </w:tr>
      <w:tr w:rsidR="00CF6198" w:rsidRPr="00CF6198" w:rsidTr="00CF6198">
        <w:trPr>
          <w:trHeight w:val="302"/>
        </w:trPr>
        <w:tc>
          <w:tcPr>
            <w:tcW w:w="3781"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u w:val="single"/>
              </w:rPr>
              <w:t>    Sales, General &amp; Administrative</w:t>
            </w:r>
          </w:p>
        </w:tc>
        <w:tc>
          <w:tcPr>
            <w:tcW w:w="1440"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u w:val="single"/>
              </w:rPr>
              <w:t>1,456,033</w:t>
            </w:r>
          </w:p>
        </w:tc>
        <w:tc>
          <w:tcPr>
            <w:tcW w:w="1440"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u w:val="single"/>
              </w:rPr>
              <w:t>1,059,449</w:t>
            </w:r>
          </w:p>
        </w:tc>
        <w:tc>
          <w:tcPr>
            <w:tcW w:w="934"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u w:val="single"/>
              </w:rPr>
              <w:t>1,080,526</w:t>
            </w:r>
          </w:p>
        </w:tc>
      </w:tr>
      <w:tr w:rsidR="00CF6198" w:rsidRPr="00CF6198" w:rsidTr="00CF6198">
        <w:trPr>
          <w:trHeight w:val="307"/>
        </w:trPr>
        <w:tc>
          <w:tcPr>
            <w:tcW w:w="3781"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Operating Income</w:t>
            </w:r>
          </w:p>
        </w:tc>
        <w:tc>
          <w:tcPr>
            <w:tcW w:w="1440" w:type="dxa"/>
            <w:hideMark/>
          </w:tcPr>
          <w:p w:rsidR="00CF6198" w:rsidRPr="00CF6198" w:rsidRDefault="00CF6198" w:rsidP="00CF6198">
            <w:pPr>
              <w:spacing w:after="0" w:line="193" w:lineRule="atLeast"/>
              <w:ind w:left="18"/>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(137,921)</w:t>
            </w:r>
          </w:p>
        </w:tc>
        <w:tc>
          <w:tcPr>
            <w:tcW w:w="1440" w:type="dxa"/>
            <w:hideMark/>
          </w:tcPr>
          <w:p w:rsidR="00CF6198" w:rsidRPr="00CF6198" w:rsidRDefault="00CF6198" w:rsidP="00CF6198">
            <w:pPr>
              <w:spacing w:after="0" w:line="193" w:lineRule="atLeast"/>
              <w:ind w:left="165"/>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311,609</w:t>
            </w:r>
          </w:p>
        </w:tc>
        <w:tc>
          <w:tcPr>
            <w:tcW w:w="934" w:type="dxa"/>
            <w:hideMark/>
          </w:tcPr>
          <w:p w:rsidR="00CF6198" w:rsidRPr="00CF6198" w:rsidRDefault="00CF6198" w:rsidP="00CF6198">
            <w:pPr>
              <w:spacing w:after="0" w:line="193" w:lineRule="atLeast"/>
              <w:ind w:left="165"/>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537,467</w:t>
            </w:r>
          </w:p>
        </w:tc>
      </w:tr>
      <w:tr w:rsidR="00CF6198" w:rsidRPr="00CF6198" w:rsidTr="00CF6198">
        <w:trPr>
          <w:trHeight w:val="300"/>
        </w:trPr>
        <w:tc>
          <w:tcPr>
            <w:tcW w:w="3781"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Net non-operating income</w:t>
            </w:r>
          </w:p>
        </w:tc>
        <w:tc>
          <w:tcPr>
            <w:tcW w:w="1440" w:type="dxa"/>
            <w:hideMark/>
          </w:tcPr>
          <w:p w:rsidR="00CF6198" w:rsidRPr="00CF6198" w:rsidRDefault="00CF6198" w:rsidP="00CF6198">
            <w:pPr>
              <w:spacing w:after="0" w:line="193" w:lineRule="atLeast"/>
              <w:ind w:left="128"/>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(34,819)</w:t>
            </w:r>
          </w:p>
        </w:tc>
        <w:tc>
          <w:tcPr>
            <w:tcW w:w="1440" w:type="dxa"/>
            <w:hideMark/>
          </w:tcPr>
          <w:p w:rsidR="00CF6198" w:rsidRPr="00CF6198" w:rsidRDefault="00CF6198" w:rsidP="00CF6198">
            <w:pPr>
              <w:spacing w:after="0" w:line="193" w:lineRule="atLeast"/>
              <w:ind w:left="18"/>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(103,862)</w:t>
            </w:r>
          </w:p>
        </w:tc>
        <w:tc>
          <w:tcPr>
            <w:tcW w:w="934" w:type="dxa"/>
            <w:hideMark/>
          </w:tcPr>
          <w:p w:rsidR="00CF6198" w:rsidRPr="00CF6198" w:rsidRDefault="00CF6198" w:rsidP="00CF6198">
            <w:pPr>
              <w:spacing w:after="0" w:line="193" w:lineRule="atLeast"/>
              <w:ind w:right="56"/>
              <w:jc w:val="righ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347</w:t>
            </w:r>
          </w:p>
        </w:tc>
      </w:tr>
      <w:tr w:rsidR="00CF6198" w:rsidRPr="00CF6198" w:rsidTr="00CF6198">
        <w:trPr>
          <w:trHeight w:val="280"/>
        </w:trPr>
        <w:tc>
          <w:tcPr>
            <w:tcW w:w="3781"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Net special gains (losses)</w:t>
            </w:r>
          </w:p>
        </w:tc>
        <w:tc>
          <w:tcPr>
            <w:tcW w:w="1440" w:type="dxa"/>
            <w:hideMark/>
          </w:tcPr>
          <w:p w:rsidR="00CF6198" w:rsidRPr="00CF6198" w:rsidRDefault="00CF6198" w:rsidP="00CF6198">
            <w:pPr>
              <w:spacing w:after="0" w:line="193" w:lineRule="atLeast"/>
              <w:ind w:left="128"/>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(46,031)</w:t>
            </w:r>
          </w:p>
        </w:tc>
        <w:tc>
          <w:tcPr>
            <w:tcW w:w="1440" w:type="dxa"/>
            <w:hideMark/>
          </w:tcPr>
          <w:p w:rsidR="00CF6198" w:rsidRPr="00CF6198" w:rsidRDefault="00CF6198" w:rsidP="00CF6198">
            <w:pPr>
              <w:spacing w:after="0" w:line="193" w:lineRule="atLeast"/>
              <w:ind w:left="128"/>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(66,127)</w:t>
            </w:r>
          </w:p>
        </w:tc>
        <w:tc>
          <w:tcPr>
            <w:tcW w:w="934" w:type="dxa"/>
            <w:hideMark/>
          </w:tcPr>
          <w:p w:rsidR="00CF6198" w:rsidRPr="00CF6198" w:rsidRDefault="00CF6198" w:rsidP="00CF6198">
            <w:pPr>
              <w:spacing w:after="0" w:line="193" w:lineRule="atLeast"/>
              <w:ind w:left="128"/>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(57,673)</w:t>
            </w:r>
          </w:p>
        </w:tc>
      </w:tr>
    </w:tbl>
    <w:p w:rsidR="00CF6198" w:rsidRPr="00CF6198" w:rsidRDefault="00CF6198" w:rsidP="00CF6198">
      <w:pPr>
        <w:spacing w:after="33" w:line="193" w:lineRule="atLeast"/>
        <w:ind w:left="-110"/>
        <w:rPr>
          <w:rFonts w:ascii="Arial" w:eastAsia="Times New Roman" w:hAnsi="Arial" w:cs="Arial"/>
          <w:color w:val="000000"/>
          <w:sz w:val="18"/>
          <w:szCs w:val="18"/>
        </w:rPr>
      </w:pPr>
      <w:r w:rsidRPr="00CF6198">
        <w:rPr>
          <w:rFonts w:ascii="Arial" w:eastAsia="Times New Roman" w:hAnsi="Arial" w:cs="Arial"/>
          <w:color w:val="000000"/>
          <w:sz w:val="18"/>
          <w:szCs w:val="18"/>
        </w:rPr>
        <w:pict>
          <v:shape id="_x0000_i1028" type="#_x0000_t75" alt="" style="width:387.75pt;height:.75pt"/>
        </w:pict>
      </w:r>
    </w:p>
    <w:tbl>
      <w:tblPr>
        <w:tblW w:w="7595" w:type="dxa"/>
        <w:tblCellMar>
          <w:left w:w="0" w:type="dxa"/>
          <w:right w:w="0" w:type="dxa"/>
        </w:tblCellMar>
        <w:tblLook w:val="04A0"/>
      </w:tblPr>
      <w:tblGrid>
        <w:gridCol w:w="3774"/>
        <w:gridCol w:w="1438"/>
        <w:gridCol w:w="1438"/>
        <w:gridCol w:w="945"/>
      </w:tblGrid>
      <w:tr w:rsidR="00CF6198" w:rsidRPr="00CF6198" w:rsidTr="00CF6198">
        <w:trPr>
          <w:trHeight w:val="285"/>
        </w:trPr>
        <w:tc>
          <w:tcPr>
            <w:tcW w:w="3781"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u w:val="single"/>
              </w:rPr>
              <w:t>Earnings Before Taxes</w:t>
            </w:r>
          </w:p>
        </w:tc>
        <w:tc>
          <w:tcPr>
            <w:tcW w:w="1440" w:type="dxa"/>
            <w:hideMark/>
          </w:tcPr>
          <w:p w:rsidR="00CF6198" w:rsidRPr="00CF6198" w:rsidRDefault="00CF6198" w:rsidP="00CF6198">
            <w:pPr>
              <w:spacing w:after="0" w:line="193" w:lineRule="atLeast"/>
              <w:ind w:left="18"/>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u w:val="single"/>
              </w:rPr>
              <w:t>(218,771)</w:t>
            </w:r>
          </w:p>
        </w:tc>
        <w:tc>
          <w:tcPr>
            <w:tcW w:w="1440" w:type="dxa"/>
            <w:hideMark/>
          </w:tcPr>
          <w:p w:rsidR="00CF6198" w:rsidRPr="00CF6198" w:rsidRDefault="00CF6198" w:rsidP="00CF6198">
            <w:pPr>
              <w:spacing w:after="0" w:line="193" w:lineRule="atLeast"/>
              <w:ind w:left="165"/>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u w:val="single"/>
              </w:rPr>
              <w:t>141,620</w:t>
            </w:r>
          </w:p>
        </w:tc>
        <w:tc>
          <w:tcPr>
            <w:tcW w:w="934" w:type="dxa"/>
            <w:hideMark/>
          </w:tcPr>
          <w:p w:rsidR="00CF6198" w:rsidRPr="00CF6198" w:rsidRDefault="00CF6198" w:rsidP="00CF6198">
            <w:pPr>
              <w:spacing w:after="0" w:line="193" w:lineRule="atLeast"/>
              <w:ind w:left="165"/>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u w:val="single"/>
              </w:rPr>
              <w:t>480,141</w:t>
            </w:r>
          </w:p>
        </w:tc>
      </w:tr>
      <w:tr w:rsidR="00CF6198" w:rsidRPr="00CF6198" w:rsidTr="00CF6198">
        <w:trPr>
          <w:trHeight w:val="293"/>
        </w:trPr>
        <w:tc>
          <w:tcPr>
            <w:tcW w:w="3781"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Total Income Taxes</w:t>
            </w:r>
          </w:p>
        </w:tc>
        <w:tc>
          <w:tcPr>
            <w:tcW w:w="1440" w:type="dxa"/>
            <w:hideMark/>
          </w:tcPr>
          <w:p w:rsidR="00CF6198" w:rsidRPr="00CF6198" w:rsidRDefault="00CF6198" w:rsidP="00CF6198">
            <w:pPr>
              <w:spacing w:after="0" w:line="193" w:lineRule="atLeast"/>
              <w:ind w:left="275"/>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36,938</w:t>
            </w:r>
          </w:p>
        </w:tc>
        <w:tc>
          <w:tcPr>
            <w:tcW w:w="1440" w:type="dxa"/>
            <w:hideMark/>
          </w:tcPr>
          <w:p w:rsidR="00CF6198" w:rsidRPr="00CF6198" w:rsidRDefault="00CF6198" w:rsidP="00CF6198">
            <w:pPr>
              <w:spacing w:after="0" w:line="193" w:lineRule="atLeast"/>
              <w:ind w:left="275"/>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91,540</w:t>
            </w:r>
          </w:p>
        </w:tc>
        <w:tc>
          <w:tcPr>
            <w:tcW w:w="934" w:type="dxa"/>
            <w:hideMark/>
          </w:tcPr>
          <w:p w:rsidR="00CF6198" w:rsidRPr="00CF6198" w:rsidRDefault="00CF6198" w:rsidP="00CF6198">
            <w:pPr>
              <w:spacing w:after="0" w:line="193" w:lineRule="atLeast"/>
              <w:ind w:left="165"/>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132,127</w:t>
            </w:r>
          </w:p>
        </w:tc>
      </w:tr>
      <w:tr w:rsidR="00CF6198" w:rsidRPr="00CF6198" w:rsidTr="00CF6198">
        <w:trPr>
          <w:trHeight w:val="518"/>
        </w:trPr>
        <w:tc>
          <w:tcPr>
            <w:tcW w:w="3781" w:type="dxa"/>
            <w:hideMark/>
          </w:tcPr>
          <w:p w:rsidR="00CF6198" w:rsidRPr="00CF6198" w:rsidRDefault="00CF6198" w:rsidP="00CF6198">
            <w:pPr>
              <w:spacing w:after="0" w:line="193" w:lineRule="atLeast"/>
              <w:ind w:right="485"/>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Income (loss) attributable to minority interests</w:t>
            </w:r>
          </w:p>
        </w:tc>
        <w:tc>
          <w:tcPr>
            <w:tcW w:w="1440" w:type="dxa"/>
            <w:vAlign w:val="center"/>
            <w:hideMark/>
          </w:tcPr>
          <w:p w:rsidR="00CF6198" w:rsidRPr="00CF6198" w:rsidRDefault="00CF6198" w:rsidP="00CF6198">
            <w:pPr>
              <w:spacing w:after="0" w:line="193" w:lineRule="atLeast"/>
              <w:ind w:left="128"/>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(22,000)</w:t>
            </w:r>
          </w:p>
        </w:tc>
        <w:tc>
          <w:tcPr>
            <w:tcW w:w="1440" w:type="dxa"/>
            <w:vAlign w:val="center"/>
            <w:hideMark/>
          </w:tcPr>
          <w:p w:rsidR="00CF6198" w:rsidRPr="00CF6198" w:rsidRDefault="00CF6198" w:rsidP="00CF6198">
            <w:pPr>
              <w:spacing w:after="0" w:line="193" w:lineRule="atLeast"/>
              <w:ind w:left="385"/>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7,690</w:t>
            </w:r>
          </w:p>
        </w:tc>
        <w:tc>
          <w:tcPr>
            <w:tcW w:w="934" w:type="dxa"/>
            <w:vAlign w:val="center"/>
            <w:hideMark/>
          </w:tcPr>
          <w:p w:rsidR="00CF6198" w:rsidRPr="00CF6198" w:rsidRDefault="00CF6198" w:rsidP="00CF6198">
            <w:pPr>
              <w:spacing w:after="0" w:line="193" w:lineRule="atLeast"/>
              <w:ind w:right="56"/>
              <w:jc w:val="righ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211E1E"/>
                <w:sz w:val="24"/>
                <w:szCs w:val="24"/>
              </w:rPr>
              <w:t>28,793</w:t>
            </w:r>
          </w:p>
        </w:tc>
      </w:tr>
      <w:tr w:rsidR="00CF6198" w:rsidRPr="00CF6198" w:rsidTr="00CF6198">
        <w:trPr>
          <w:trHeight w:val="280"/>
        </w:trPr>
        <w:tc>
          <w:tcPr>
            <w:tcW w:w="3781" w:type="dxa"/>
            <w:hideMark/>
          </w:tcPr>
          <w:p w:rsidR="00CF6198" w:rsidRPr="00CF6198" w:rsidRDefault="00CF6198" w:rsidP="00CF6198">
            <w:pPr>
              <w:spacing w:after="0" w:line="193" w:lineRule="atLeast"/>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Net Income</w:t>
            </w:r>
          </w:p>
        </w:tc>
        <w:tc>
          <w:tcPr>
            <w:tcW w:w="1440" w:type="dxa"/>
            <w:hideMark/>
          </w:tcPr>
          <w:p w:rsidR="00CF6198" w:rsidRPr="00CF6198" w:rsidRDefault="00CF6198" w:rsidP="00CF6198">
            <w:pPr>
              <w:spacing w:after="0" w:line="193" w:lineRule="atLeast"/>
              <w:ind w:left="18"/>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(233,709)</w:t>
            </w:r>
          </w:p>
        </w:tc>
        <w:tc>
          <w:tcPr>
            <w:tcW w:w="1440" w:type="dxa"/>
            <w:hideMark/>
          </w:tcPr>
          <w:p w:rsidR="00CF6198" w:rsidRPr="00CF6198" w:rsidRDefault="00CF6198" w:rsidP="00CF6198">
            <w:pPr>
              <w:spacing w:after="0" w:line="193" w:lineRule="atLeast"/>
              <w:ind w:left="275"/>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42,390</w:t>
            </w:r>
          </w:p>
        </w:tc>
        <w:tc>
          <w:tcPr>
            <w:tcW w:w="934" w:type="dxa"/>
            <w:hideMark/>
          </w:tcPr>
          <w:p w:rsidR="00CF6198" w:rsidRPr="00CF6198" w:rsidRDefault="00CF6198" w:rsidP="00CF6198">
            <w:pPr>
              <w:spacing w:after="0" w:line="193" w:lineRule="atLeast"/>
              <w:ind w:left="165"/>
              <w:rPr>
                <w:rFonts w:ascii="Times New Roman" w:eastAsia="Times New Roman" w:hAnsi="Times New Roman" w:cs="Times New Roman"/>
                <w:color w:val="000000"/>
                <w:sz w:val="24"/>
                <w:szCs w:val="24"/>
              </w:rPr>
            </w:pPr>
            <w:r w:rsidRPr="00CF6198">
              <w:rPr>
                <w:rFonts w:ascii="Times New Roman" w:eastAsia="Times New Roman" w:hAnsi="Times New Roman" w:cs="Times New Roman"/>
                <w:color w:val="000000"/>
                <w:sz w:val="24"/>
                <w:szCs w:val="24"/>
              </w:rPr>
              <w:t>319,221</w:t>
            </w:r>
          </w:p>
        </w:tc>
      </w:tr>
    </w:tbl>
    <w:p w:rsidR="00CF6198" w:rsidRPr="00CF6198" w:rsidRDefault="00CF6198" w:rsidP="00CF6198">
      <w:pPr>
        <w:spacing w:after="0" w:line="193" w:lineRule="atLeast"/>
        <w:rPr>
          <w:rFonts w:ascii="Arial" w:eastAsia="Times New Roman" w:hAnsi="Arial" w:cs="Arial"/>
          <w:color w:val="000000"/>
          <w:sz w:val="18"/>
          <w:szCs w:val="18"/>
        </w:rPr>
      </w:pPr>
      <w:r w:rsidRPr="00CF6198">
        <w:rPr>
          <w:rFonts w:ascii="Arial" w:eastAsia="Times New Roman" w:hAnsi="Arial" w:cs="Arial"/>
          <w:i/>
          <w:iCs/>
          <w:color w:val="000000"/>
          <w:sz w:val="16"/>
        </w:rPr>
        <w:t> </w:t>
      </w:r>
    </w:p>
    <w:p w:rsidR="00CF6198" w:rsidRPr="00CF6198" w:rsidRDefault="00CF6198" w:rsidP="00CF6198">
      <w:pPr>
        <w:spacing w:after="0" w:line="245" w:lineRule="atLeast"/>
        <w:ind w:left="-5"/>
        <w:rPr>
          <w:rFonts w:ascii="Arial" w:eastAsia="Times New Roman" w:hAnsi="Arial" w:cs="Arial"/>
          <w:color w:val="000000"/>
          <w:sz w:val="18"/>
          <w:szCs w:val="18"/>
        </w:rPr>
      </w:pPr>
      <w:r w:rsidRPr="00CF6198">
        <w:rPr>
          <w:rFonts w:ascii="Arial" w:eastAsia="Times New Roman" w:hAnsi="Arial" w:cs="Arial"/>
          <w:i/>
          <w:iCs/>
          <w:color w:val="000000"/>
          <w:sz w:val="16"/>
        </w:rPr>
        <w:t>Source: Nissan 2011 Annual Report.</w:t>
      </w:r>
    </w:p>
    <w:p w:rsidR="00CF6198" w:rsidRPr="00CF6198" w:rsidRDefault="00CF6198" w:rsidP="00CF6198">
      <w:pPr>
        <w:spacing w:after="0" w:line="198" w:lineRule="atLeast"/>
        <w:ind w:left="-15"/>
        <w:rPr>
          <w:rFonts w:ascii="Arial" w:eastAsia="Times New Roman" w:hAnsi="Arial" w:cs="Arial"/>
          <w:color w:val="000000"/>
          <w:sz w:val="18"/>
          <w:szCs w:val="18"/>
        </w:rPr>
      </w:pPr>
      <w:r w:rsidRPr="00CF6198">
        <w:rPr>
          <w:rFonts w:ascii="Arial" w:eastAsia="Times New Roman" w:hAnsi="Arial" w:cs="Arial"/>
          <w:b/>
          <w:bCs/>
          <w:i/>
          <w:iCs/>
          <w:color w:val="000000"/>
          <w:sz w:val="20"/>
        </w:rPr>
        <w:t>Exhibit 4     Excerpts from Nissan 2010 Annual Report</w:t>
      </w:r>
    </w:p>
    <w:p w:rsidR="00CF6198" w:rsidRPr="00CF6198" w:rsidRDefault="00CF6198" w:rsidP="00CF6198">
      <w:pPr>
        <w:spacing w:after="0" w:line="270" w:lineRule="atLeast"/>
        <w:outlineLvl w:val="0"/>
        <w:rPr>
          <w:rFonts w:ascii="Arial" w:eastAsia="Times New Roman" w:hAnsi="Arial" w:cs="Arial"/>
          <w:b/>
          <w:bCs/>
          <w:color w:val="777777"/>
          <w:kern w:val="36"/>
          <w:sz w:val="32"/>
          <w:szCs w:val="32"/>
        </w:rPr>
      </w:pPr>
      <w:r w:rsidRPr="00CF6198">
        <w:rPr>
          <w:rFonts w:ascii="Times New Roman" w:eastAsia="Times New Roman" w:hAnsi="Times New Roman" w:cs="Times New Roman"/>
          <w:b/>
          <w:bCs/>
          <w:color w:val="777777"/>
          <w:kern w:val="36"/>
          <w:sz w:val="32"/>
          <w:szCs w:val="32"/>
        </w:rPr>
        <w:t>Risk Management Measures &amp; Actions (Related to Earthquakes)</w:t>
      </w:r>
    </w:p>
    <w:p w:rsidR="00CF6198" w:rsidRPr="00CF6198" w:rsidRDefault="00CF6198" w:rsidP="00CF6198">
      <w:pPr>
        <w:spacing w:after="32" w:line="193"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t> </w:t>
      </w:r>
    </w:p>
    <w:p w:rsidR="00CF6198" w:rsidRPr="00CF6198" w:rsidRDefault="00CF6198" w:rsidP="00CF6198">
      <w:pPr>
        <w:spacing w:after="3" w:line="270" w:lineRule="atLeast"/>
        <w:ind w:left="-5" w:right="31"/>
        <w:rPr>
          <w:rFonts w:ascii="Arial" w:eastAsia="Times New Roman" w:hAnsi="Arial" w:cs="Arial"/>
          <w:color w:val="000000"/>
          <w:sz w:val="18"/>
          <w:szCs w:val="18"/>
        </w:rPr>
      </w:pPr>
      <w:r w:rsidRPr="00CF6198">
        <w:rPr>
          <w:rFonts w:ascii="Arial" w:eastAsia="Times New Roman" w:hAnsi="Arial" w:cs="Arial"/>
          <w:color w:val="000000"/>
          <w:sz w:val="18"/>
          <w:szCs w:val="18"/>
        </w:rPr>
        <w:t>Nissan is assuming earthquake (EQ) as the most critical catastrophe. In case of EQ which intensity is 5-upper or over in Japan, First Response Team (organized by main functions of Global Disaster Headquarters) will gather information and decide actions to be taken based on the information. If necessary, Global Disaster Headquarters and Regional Disaster Headquarters are set up and gather information about employees’ safety and damage situation of facilities and work for business continuity.</w:t>
      </w:r>
    </w:p>
    <w:p w:rsidR="00CF6198" w:rsidRPr="00CF6198" w:rsidRDefault="00CF6198" w:rsidP="00CF6198">
      <w:pPr>
        <w:spacing w:after="27" w:line="193"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t> </w:t>
      </w:r>
    </w:p>
    <w:p w:rsidR="00CF6198" w:rsidRPr="00CF6198" w:rsidRDefault="00CF6198" w:rsidP="00CF6198">
      <w:pPr>
        <w:spacing w:after="0" w:line="270" w:lineRule="atLeast"/>
        <w:ind w:left="-5" w:right="31"/>
        <w:rPr>
          <w:rFonts w:ascii="Arial" w:eastAsia="Times New Roman" w:hAnsi="Arial" w:cs="Arial"/>
          <w:color w:val="000000"/>
          <w:sz w:val="18"/>
          <w:szCs w:val="18"/>
        </w:rPr>
      </w:pPr>
      <w:r w:rsidRPr="00CF6198">
        <w:rPr>
          <w:rFonts w:ascii="Arial" w:eastAsia="Times New Roman" w:hAnsi="Arial" w:cs="Arial"/>
          <w:color w:val="000000"/>
          <w:sz w:val="18"/>
          <w:szCs w:val="18"/>
        </w:rPr>
        <w:t>At the same time, efforts to develop Business Continuity Plan (BCP) are being done involving suppliers, such as, each and every function assessed its priority work, develop countermeasures to continue the priority works. BCP will be reviewed annually in the process of rotating PDCA cycle.</w:t>
      </w:r>
      <w:r w:rsidRPr="00CF6198">
        <w:rPr>
          <w:rFonts w:ascii="Arial" w:eastAsia="Times New Roman" w:hAnsi="Arial" w:cs="Arial"/>
          <w:color w:val="000000"/>
          <w:sz w:val="18"/>
        </w:rPr>
        <w:t> </w:t>
      </w:r>
      <w:r w:rsidRPr="00CF6198">
        <w:rPr>
          <w:rFonts w:ascii="Arial" w:eastAsia="Times New Roman" w:hAnsi="Arial" w:cs="Arial"/>
          <w:color w:val="000000"/>
          <w:sz w:val="18"/>
          <w:szCs w:val="18"/>
          <w:u w:val="single"/>
        </w:rPr>
        <w:t>Policy &amp; Principle in Case of EQ</w:t>
      </w:r>
    </w:p>
    <w:p w:rsidR="00CF6198" w:rsidRPr="00CF6198" w:rsidRDefault="00CF6198" w:rsidP="00CF6198">
      <w:pPr>
        <w:spacing w:after="65" w:line="193"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t> </w:t>
      </w:r>
    </w:p>
    <w:p w:rsidR="00CF6198" w:rsidRPr="00CF6198" w:rsidRDefault="00CF6198" w:rsidP="00CF6198">
      <w:pPr>
        <w:spacing w:after="0" w:line="270" w:lineRule="atLeast"/>
        <w:ind w:left="720" w:right="31" w:hanging="360"/>
        <w:rPr>
          <w:rFonts w:ascii="Arial" w:eastAsia="Times New Roman" w:hAnsi="Arial" w:cs="Arial"/>
          <w:color w:val="000000"/>
          <w:sz w:val="18"/>
          <w:szCs w:val="18"/>
        </w:rPr>
      </w:pPr>
      <w:r w:rsidRPr="00CF6198">
        <w:rPr>
          <w:rFonts w:ascii="Arial" w:eastAsia="Times New Roman" w:hAnsi="Arial" w:cs="Arial"/>
          <w:color w:val="000000"/>
          <w:sz w:val="18"/>
          <w:szCs w:val="18"/>
        </w:rPr>
        <w:t>1.</w:t>
      </w:r>
      <w:r w:rsidRPr="00CF6198">
        <w:rPr>
          <w:rFonts w:ascii="Times New Roman" w:eastAsia="Times New Roman" w:hAnsi="Times New Roman" w:cs="Times New Roman"/>
          <w:color w:val="000000"/>
          <w:sz w:val="14"/>
          <w:szCs w:val="14"/>
        </w:rPr>
        <w:t>      </w:t>
      </w:r>
      <w:r w:rsidRPr="00CF6198">
        <w:rPr>
          <w:rFonts w:ascii="Times New Roman" w:eastAsia="Times New Roman" w:hAnsi="Times New Roman" w:cs="Times New Roman"/>
          <w:color w:val="000000"/>
          <w:sz w:val="14"/>
        </w:rPr>
        <w:t> </w:t>
      </w:r>
      <w:r w:rsidRPr="00CF6198">
        <w:rPr>
          <w:rFonts w:ascii="Arial" w:eastAsia="Times New Roman" w:hAnsi="Arial" w:cs="Arial"/>
          <w:color w:val="000000"/>
          <w:sz w:val="18"/>
          <w:szCs w:val="18"/>
        </w:rPr>
        <w:t>First priority on human’s life (Utilization of Employees’ safety confirmation system, EQ preparedness card to be carried on a daily basis)</w:t>
      </w:r>
    </w:p>
    <w:p w:rsidR="00CF6198" w:rsidRPr="00CF6198" w:rsidRDefault="00CF6198" w:rsidP="00CF6198">
      <w:pPr>
        <w:spacing w:after="0" w:line="270" w:lineRule="atLeast"/>
        <w:ind w:left="720" w:right="31" w:hanging="360"/>
        <w:rPr>
          <w:rFonts w:ascii="Arial" w:eastAsia="Times New Roman" w:hAnsi="Arial" w:cs="Arial"/>
          <w:color w:val="000000"/>
          <w:sz w:val="18"/>
          <w:szCs w:val="18"/>
        </w:rPr>
      </w:pPr>
      <w:r w:rsidRPr="00CF6198">
        <w:rPr>
          <w:rFonts w:ascii="Arial" w:eastAsia="Times New Roman" w:hAnsi="Arial" w:cs="Arial"/>
          <w:color w:val="000000"/>
          <w:sz w:val="18"/>
          <w:szCs w:val="18"/>
        </w:rPr>
        <w:t>2.</w:t>
      </w:r>
      <w:r w:rsidRPr="00CF6198">
        <w:rPr>
          <w:rFonts w:ascii="Times New Roman" w:eastAsia="Times New Roman" w:hAnsi="Times New Roman" w:cs="Times New Roman"/>
          <w:color w:val="000000"/>
          <w:sz w:val="14"/>
          <w:szCs w:val="14"/>
        </w:rPr>
        <w:t>      </w:t>
      </w:r>
      <w:r w:rsidRPr="00CF6198">
        <w:rPr>
          <w:rFonts w:ascii="Times New Roman" w:eastAsia="Times New Roman" w:hAnsi="Times New Roman" w:cs="Times New Roman"/>
          <w:color w:val="000000"/>
          <w:sz w:val="14"/>
        </w:rPr>
        <w:t> </w:t>
      </w:r>
      <w:r w:rsidRPr="00CF6198">
        <w:rPr>
          <w:rFonts w:ascii="Arial" w:eastAsia="Times New Roman" w:hAnsi="Arial" w:cs="Arial"/>
          <w:color w:val="000000"/>
          <w:sz w:val="18"/>
          <w:szCs w:val="18"/>
        </w:rPr>
        <w:t>Prevention of second disaster (In-house firefighting organization, stockpiling, provision of disaster information)</w:t>
      </w:r>
    </w:p>
    <w:p w:rsidR="00CF6198" w:rsidRPr="00CF6198" w:rsidRDefault="00CF6198" w:rsidP="00CF6198">
      <w:pPr>
        <w:spacing w:after="0" w:line="270" w:lineRule="atLeast"/>
        <w:ind w:left="720" w:right="31" w:hanging="360"/>
        <w:rPr>
          <w:rFonts w:ascii="Arial" w:eastAsia="Times New Roman" w:hAnsi="Arial" w:cs="Arial"/>
          <w:color w:val="000000"/>
          <w:sz w:val="18"/>
          <w:szCs w:val="18"/>
        </w:rPr>
      </w:pPr>
      <w:r w:rsidRPr="00CF6198">
        <w:rPr>
          <w:rFonts w:ascii="Arial" w:eastAsia="Times New Roman" w:hAnsi="Arial" w:cs="Arial"/>
          <w:color w:val="000000"/>
          <w:sz w:val="18"/>
          <w:szCs w:val="18"/>
        </w:rPr>
        <w:t>3.</w:t>
      </w:r>
      <w:r w:rsidRPr="00CF6198">
        <w:rPr>
          <w:rFonts w:ascii="Times New Roman" w:eastAsia="Times New Roman" w:hAnsi="Times New Roman" w:cs="Times New Roman"/>
          <w:color w:val="000000"/>
          <w:sz w:val="14"/>
          <w:szCs w:val="14"/>
        </w:rPr>
        <w:t>      </w:t>
      </w:r>
      <w:r w:rsidRPr="00CF6198">
        <w:rPr>
          <w:rFonts w:ascii="Times New Roman" w:eastAsia="Times New Roman" w:hAnsi="Times New Roman" w:cs="Times New Roman"/>
          <w:color w:val="000000"/>
          <w:sz w:val="14"/>
        </w:rPr>
        <w:t> </w:t>
      </w:r>
      <w:r w:rsidRPr="00CF6198">
        <w:rPr>
          <w:rFonts w:ascii="Arial" w:eastAsia="Times New Roman" w:hAnsi="Arial" w:cs="Arial"/>
          <w:color w:val="000000"/>
          <w:sz w:val="18"/>
          <w:szCs w:val="18"/>
        </w:rPr>
        <w:t>Speedy disaster recovery and business continuity (Measures for hardware, improvement of contingency plan and development of BCP)</w:t>
      </w:r>
    </w:p>
    <w:p w:rsidR="00CF6198" w:rsidRPr="00CF6198" w:rsidRDefault="00CF6198" w:rsidP="00CF6198">
      <w:pPr>
        <w:spacing w:after="0" w:line="270" w:lineRule="atLeast"/>
        <w:ind w:left="720" w:right="31" w:hanging="360"/>
        <w:rPr>
          <w:rFonts w:ascii="Arial" w:eastAsia="Times New Roman" w:hAnsi="Arial" w:cs="Arial"/>
          <w:color w:val="000000"/>
          <w:sz w:val="18"/>
          <w:szCs w:val="18"/>
        </w:rPr>
      </w:pPr>
      <w:r w:rsidRPr="00CF6198">
        <w:rPr>
          <w:rFonts w:ascii="Arial" w:eastAsia="Times New Roman" w:hAnsi="Arial" w:cs="Arial"/>
          <w:color w:val="000000"/>
          <w:sz w:val="18"/>
          <w:szCs w:val="18"/>
        </w:rPr>
        <w:t>4.</w:t>
      </w:r>
      <w:r w:rsidRPr="00CF6198">
        <w:rPr>
          <w:rFonts w:ascii="Times New Roman" w:eastAsia="Times New Roman" w:hAnsi="Times New Roman" w:cs="Times New Roman"/>
          <w:color w:val="000000"/>
          <w:sz w:val="14"/>
          <w:szCs w:val="14"/>
        </w:rPr>
        <w:t>      </w:t>
      </w:r>
      <w:r w:rsidRPr="00CF6198">
        <w:rPr>
          <w:rFonts w:ascii="Times New Roman" w:eastAsia="Times New Roman" w:hAnsi="Times New Roman" w:cs="Times New Roman"/>
          <w:color w:val="000000"/>
          <w:sz w:val="14"/>
        </w:rPr>
        <w:t> </w:t>
      </w:r>
      <w:r w:rsidRPr="00CF6198">
        <w:rPr>
          <w:rFonts w:ascii="Arial" w:eastAsia="Times New Roman" w:hAnsi="Arial" w:cs="Arial"/>
          <w:color w:val="000000"/>
          <w:sz w:val="18"/>
          <w:szCs w:val="18"/>
        </w:rPr>
        <w:t>Contribution to local society (cooperation / mutual aid with neighboring community, companies, local and central government)</w:t>
      </w:r>
    </w:p>
    <w:p w:rsidR="00CF6198" w:rsidRPr="00CF6198" w:rsidRDefault="00CF6198" w:rsidP="00CF6198">
      <w:pPr>
        <w:spacing w:after="32" w:line="193"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t> </w:t>
      </w:r>
    </w:p>
    <w:p w:rsidR="00CF6198" w:rsidRPr="00CF6198" w:rsidRDefault="00CF6198" w:rsidP="00CF6198">
      <w:pPr>
        <w:spacing w:after="3" w:line="270" w:lineRule="atLeast"/>
        <w:ind w:left="-5" w:right="31"/>
        <w:rPr>
          <w:rFonts w:ascii="Arial" w:eastAsia="Times New Roman" w:hAnsi="Arial" w:cs="Arial"/>
          <w:color w:val="000000"/>
          <w:sz w:val="18"/>
          <w:szCs w:val="18"/>
        </w:rPr>
      </w:pPr>
      <w:r w:rsidRPr="00CF6198">
        <w:rPr>
          <w:rFonts w:ascii="Arial" w:eastAsia="Times New Roman" w:hAnsi="Arial" w:cs="Arial"/>
          <w:color w:val="000000"/>
          <w:sz w:val="18"/>
          <w:szCs w:val="18"/>
        </w:rPr>
        <w:t>Global Disaster Headquarters and Regional Disaster Headquarters conduct simulation training assuming large EQ to prepare catastrophe. The drill tests the effectiveness of this organization and contingency plan, and clarifies the issues to be improved. The contingency plan is reviewed based on the feedback.</w:t>
      </w:r>
    </w:p>
    <w:p w:rsidR="00CF6198" w:rsidRPr="00CF6198" w:rsidRDefault="00CF6198" w:rsidP="00CF6198">
      <w:pPr>
        <w:spacing w:after="27" w:line="193"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t> </w:t>
      </w:r>
    </w:p>
    <w:p w:rsidR="00CF6198" w:rsidRPr="00CF6198" w:rsidRDefault="00CF6198" w:rsidP="00CF6198">
      <w:pPr>
        <w:spacing w:after="3" w:line="270" w:lineRule="atLeast"/>
        <w:ind w:left="-5" w:right="31"/>
        <w:rPr>
          <w:rFonts w:ascii="Arial" w:eastAsia="Times New Roman" w:hAnsi="Arial" w:cs="Arial"/>
          <w:color w:val="000000"/>
          <w:sz w:val="18"/>
          <w:szCs w:val="18"/>
        </w:rPr>
      </w:pPr>
      <w:r w:rsidRPr="00CF6198">
        <w:rPr>
          <w:rFonts w:ascii="Arial" w:eastAsia="Times New Roman" w:hAnsi="Arial" w:cs="Arial"/>
          <w:color w:val="000000"/>
          <w:sz w:val="18"/>
          <w:szCs w:val="18"/>
        </w:rPr>
        <w:t>Nissan Global Headquarters Building where Global Disaster Headquarters is supposed to be set up (built in August 2009) has EQ resistant structure by vibration controlling brace damper. The safety is assured even in case of maximum level of EQ assumed at the site.</w:t>
      </w:r>
    </w:p>
    <w:p w:rsidR="00CF6198" w:rsidRPr="00CF6198" w:rsidRDefault="00CF6198" w:rsidP="00CF6198">
      <w:pPr>
        <w:spacing w:after="0" w:line="193"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lastRenderedPageBreak/>
        <w:t> </w:t>
      </w:r>
    </w:p>
    <w:p w:rsidR="00CF6198" w:rsidRPr="00CF6198" w:rsidRDefault="00CF6198" w:rsidP="00CF6198">
      <w:pPr>
        <w:spacing w:after="125" w:line="193" w:lineRule="atLeast"/>
        <w:ind w:left="-24"/>
        <w:rPr>
          <w:rFonts w:ascii="Arial" w:eastAsia="Times New Roman" w:hAnsi="Arial" w:cs="Arial"/>
          <w:color w:val="000000"/>
          <w:sz w:val="18"/>
          <w:szCs w:val="18"/>
        </w:rPr>
      </w:pPr>
      <w:r w:rsidRPr="00CF6198">
        <w:rPr>
          <w:rFonts w:ascii="Arial" w:eastAsia="Times New Roman" w:hAnsi="Arial" w:cs="Arial"/>
          <w:color w:val="000000"/>
          <w:sz w:val="18"/>
          <w:szCs w:val="18"/>
        </w:rPr>
        <w:pict>
          <v:shape id="_x0000_i1029" type="#_x0000_t75" alt="" style="width:449.25pt;height:117.75pt"/>
        </w:pict>
      </w:r>
    </w:p>
    <w:p w:rsidR="00CF6198" w:rsidRPr="00CF6198" w:rsidRDefault="00CF6198" w:rsidP="00CF6198">
      <w:pPr>
        <w:spacing w:after="0" w:line="193" w:lineRule="atLeast"/>
        <w:rPr>
          <w:rFonts w:ascii="Arial" w:eastAsia="Times New Roman" w:hAnsi="Arial" w:cs="Arial"/>
          <w:color w:val="000000"/>
          <w:sz w:val="18"/>
          <w:szCs w:val="18"/>
        </w:rPr>
      </w:pPr>
      <w:r w:rsidRPr="00CF6198">
        <w:rPr>
          <w:rFonts w:ascii="Arial" w:eastAsia="Times New Roman" w:hAnsi="Arial" w:cs="Arial"/>
          <w:i/>
          <w:iCs/>
          <w:color w:val="000000"/>
          <w:sz w:val="16"/>
        </w:rPr>
        <w:t>EQ: Earthquake</w:t>
      </w:r>
    </w:p>
    <w:p w:rsidR="00CF6198" w:rsidRPr="00CF6198" w:rsidRDefault="00CF6198" w:rsidP="00CF6198">
      <w:pPr>
        <w:spacing w:after="0" w:line="193" w:lineRule="atLeast"/>
        <w:rPr>
          <w:rFonts w:ascii="Arial" w:eastAsia="Times New Roman" w:hAnsi="Arial" w:cs="Arial"/>
          <w:color w:val="000000"/>
          <w:sz w:val="18"/>
          <w:szCs w:val="18"/>
        </w:rPr>
      </w:pPr>
      <w:r w:rsidRPr="00CF6198">
        <w:rPr>
          <w:rFonts w:ascii="Arial" w:eastAsia="Times New Roman" w:hAnsi="Arial" w:cs="Arial"/>
          <w:b/>
          <w:bCs/>
          <w:i/>
          <w:iCs/>
          <w:color w:val="000000"/>
          <w:sz w:val="20"/>
        </w:rPr>
        <w:t> </w:t>
      </w:r>
    </w:p>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t> </w:t>
      </w:r>
    </w:p>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br w:type="textWrapping" w:clear="all"/>
      </w:r>
    </w:p>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pict>
          <v:rect id="_x0000_i1030" style="width:154.45pt;height:.75pt" o:hrpct="330" o:hrstd="t" o:hr="t" fillcolor="#a0a0a0" stroked="f"/>
        </w:pict>
      </w:r>
    </w:p>
    <w:bookmarkStart w:id="24" w:name="_ftn1"/>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"_ftnref1"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[1]</w:t>
      </w:r>
      <w:r w:rsidRPr="00CF6198">
        <w:rPr>
          <w:rFonts w:ascii="Arial" w:eastAsia="Times New Roman" w:hAnsi="Arial" w:cs="Arial"/>
          <w:color w:val="000000"/>
          <w:sz w:val="18"/>
          <w:szCs w:val="18"/>
        </w:rPr>
        <w:fldChar w:fldCharType="end"/>
      </w:r>
      <w:bookmarkEnd w:id="24"/>
      <w:r w:rsidRPr="00CF6198">
        <w:rPr>
          <w:rFonts w:ascii="Arial" w:eastAsia="Times New Roman" w:hAnsi="Arial" w:cs="Arial"/>
          <w:color w:val="000000"/>
          <w:sz w:val="18"/>
        </w:rPr>
        <w:t> </w:t>
      </w:r>
      <w:r w:rsidRPr="00CF6198">
        <w:rPr>
          <w:rFonts w:ascii="Arial" w:eastAsia="Times New Roman" w:hAnsi="Arial" w:cs="Arial"/>
          <w:color w:val="000000"/>
          <w:sz w:val="18"/>
          <w:szCs w:val="18"/>
        </w:rPr>
        <w:t>“Japan Production by Month, 2005-2011,”</w:t>
      </w:r>
      <w:r w:rsidRPr="00CF6198">
        <w:rPr>
          <w:rFonts w:ascii="Arial" w:eastAsia="Times New Roman" w:hAnsi="Arial" w:cs="Arial"/>
          <w:color w:val="000000"/>
          <w:sz w:val="18"/>
        </w:rPr>
        <w:t> </w:t>
      </w:r>
      <w:proofErr w:type="spellStart"/>
      <w:r w:rsidRPr="00CF6198">
        <w:rPr>
          <w:rFonts w:ascii="Arial" w:eastAsia="Times New Roman" w:hAnsi="Arial" w:cs="Arial"/>
          <w:i/>
          <w:iCs/>
          <w:color w:val="000000"/>
          <w:sz w:val="18"/>
        </w:rPr>
        <w:t>WardsAuto</w:t>
      </w:r>
      <w:proofErr w:type="spellEnd"/>
      <w:r w:rsidRPr="00CF6198">
        <w:rPr>
          <w:rFonts w:ascii="Arial" w:eastAsia="Times New Roman" w:hAnsi="Arial" w:cs="Arial"/>
          <w:i/>
          <w:iCs/>
          <w:color w:val="000000"/>
          <w:sz w:val="18"/>
        </w:rPr>
        <w:t xml:space="preserve"> Group</w:t>
      </w:r>
      <w:r w:rsidRPr="00CF6198">
        <w:rPr>
          <w:rFonts w:ascii="Arial" w:eastAsia="Times New Roman" w:hAnsi="Arial" w:cs="Arial"/>
          <w:color w:val="000000"/>
          <w:sz w:val="18"/>
          <w:szCs w:val="18"/>
        </w:rPr>
        <w:t>, 2012.</w:t>
      </w:r>
      <w:r w:rsidRPr="00CF6198">
        <w:rPr>
          <w:rFonts w:ascii="Arial" w:eastAsia="Times New Roman" w:hAnsi="Arial" w:cs="Arial"/>
          <w:color w:val="000000"/>
          <w:sz w:val="16"/>
          <w:szCs w:val="16"/>
        </w:rPr>
        <w:t> </w:t>
      </w:r>
    </w:p>
    <w:bookmarkStart w:id="25" w:name="_ftn2"/>
    <w:p w:rsidR="00CF6198" w:rsidRPr="00CF6198" w:rsidRDefault="00CF6198" w:rsidP="00CF6198">
      <w:pPr>
        <w:spacing w:after="0" w:line="335" w:lineRule="atLeast"/>
        <w:ind w:right="8626"/>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"_ftnref2"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[2</w:t>
      </w:r>
      <w:proofErr w:type="gramStart"/>
      <w:r w:rsidRPr="00CF6198">
        <w:rPr>
          <w:rFonts w:ascii="Arial" w:eastAsia="Times New Roman" w:hAnsi="Arial" w:cs="Arial"/>
          <w:color w:val="0092DE"/>
          <w:sz w:val="14"/>
        </w:rPr>
        <w:t>]</w:t>
      </w:r>
      <w:proofErr w:type="gramEnd"/>
      <w:r w:rsidRPr="00CF6198">
        <w:rPr>
          <w:rFonts w:ascii="Arial" w:eastAsia="Times New Roman" w:hAnsi="Arial" w:cs="Arial"/>
          <w:color w:val="000000"/>
          <w:sz w:val="18"/>
          <w:szCs w:val="18"/>
        </w:rPr>
        <w:fldChar w:fldCharType="end"/>
      </w:r>
      <w:bookmarkEnd w:id="25"/>
      <w:r w:rsidRPr="00CF6198">
        <w:rPr>
          <w:rFonts w:ascii="Arial" w:eastAsia="Times New Roman" w:hAnsi="Arial" w:cs="Arial"/>
          <w:color w:val="000000"/>
          <w:sz w:val="18"/>
          <w:szCs w:val="18"/>
        </w:rPr>
        <w:t>Ibid.</w:t>
      </w:r>
      <w:r w:rsidRPr="00CF6198">
        <w:rPr>
          <w:rFonts w:ascii="Arial" w:eastAsia="Times New Roman" w:hAnsi="Arial" w:cs="Arial"/>
          <w:color w:val="000000"/>
          <w:sz w:val="18"/>
          <w:szCs w:val="18"/>
          <w:vertAlign w:val="superscript"/>
        </w:rPr>
        <w:t>7</w:t>
      </w:r>
      <w:r w:rsidRPr="00CF6198">
        <w:rPr>
          <w:rFonts w:ascii="Arial" w:eastAsia="Times New Roman" w:hAnsi="Arial" w:cs="Arial"/>
          <w:color w:val="000000"/>
          <w:sz w:val="18"/>
          <w:szCs w:val="18"/>
        </w:rPr>
        <w:t>Ibid.</w:t>
      </w:r>
    </w:p>
    <w:bookmarkStart w:id="26" w:name="_ftn3"/>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"_ftnref3"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[3]</w:t>
      </w:r>
      <w:r w:rsidRPr="00CF6198">
        <w:rPr>
          <w:rFonts w:ascii="Arial" w:eastAsia="Times New Roman" w:hAnsi="Arial" w:cs="Arial"/>
          <w:color w:val="000000"/>
          <w:sz w:val="18"/>
          <w:szCs w:val="18"/>
        </w:rPr>
        <w:fldChar w:fldCharType="end"/>
      </w:r>
      <w:bookmarkEnd w:id="26"/>
      <w:r w:rsidRPr="00CF6198">
        <w:rPr>
          <w:rFonts w:ascii="Arial" w:eastAsia="Times New Roman" w:hAnsi="Arial" w:cs="Arial"/>
          <w:color w:val="000000"/>
          <w:sz w:val="18"/>
        </w:rPr>
        <w:t> </w:t>
      </w:r>
      <w:r w:rsidRPr="00CF6198">
        <w:rPr>
          <w:rFonts w:ascii="Arial" w:eastAsia="Times New Roman" w:hAnsi="Arial" w:cs="Arial"/>
          <w:color w:val="000000"/>
          <w:sz w:val="18"/>
          <w:szCs w:val="18"/>
        </w:rPr>
        <w:t xml:space="preserve">Koichi </w:t>
      </w:r>
      <w:proofErr w:type="spellStart"/>
      <w:r w:rsidRPr="00CF6198">
        <w:rPr>
          <w:rFonts w:ascii="Arial" w:eastAsia="Times New Roman" w:hAnsi="Arial" w:cs="Arial"/>
          <w:color w:val="000000"/>
          <w:sz w:val="18"/>
          <w:szCs w:val="18"/>
        </w:rPr>
        <w:t>Shimokawa</w:t>
      </w:r>
      <w:proofErr w:type="spellEnd"/>
      <w:r w:rsidRPr="00CF6198">
        <w:rPr>
          <w:rFonts w:ascii="Arial" w:eastAsia="Times New Roman" w:hAnsi="Arial" w:cs="Arial"/>
          <w:color w:val="000000"/>
          <w:sz w:val="18"/>
          <w:szCs w:val="18"/>
        </w:rPr>
        <w:t>,</w:t>
      </w:r>
      <w:r w:rsidRPr="00CF6198">
        <w:rPr>
          <w:rFonts w:ascii="Arial" w:eastAsia="Times New Roman" w:hAnsi="Arial" w:cs="Arial"/>
          <w:color w:val="000000"/>
          <w:sz w:val="18"/>
        </w:rPr>
        <w:t> </w:t>
      </w:r>
      <w:proofErr w:type="gramStart"/>
      <w:r w:rsidRPr="00CF6198">
        <w:rPr>
          <w:rFonts w:ascii="Arial" w:eastAsia="Times New Roman" w:hAnsi="Arial" w:cs="Arial"/>
          <w:i/>
          <w:iCs/>
          <w:color w:val="000000"/>
          <w:sz w:val="18"/>
        </w:rPr>
        <w:t>The</w:t>
      </w:r>
      <w:proofErr w:type="gramEnd"/>
      <w:r w:rsidRPr="00CF6198">
        <w:rPr>
          <w:rFonts w:ascii="Arial" w:eastAsia="Times New Roman" w:hAnsi="Arial" w:cs="Arial"/>
          <w:i/>
          <w:iCs/>
          <w:color w:val="000000"/>
          <w:sz w:val="18"/>
        </w:rPr>
        <w:t xml:space="preserve"> Japanese Automobile Industry: A Business History</w:t>
      </w:r>
      <w:r w:rsidRPr="00CF6198">
        <w:rPr>
          <w:rFonts w:ascii="Arial" w:eastAsia="Times New Roman" w:hAnsi="Arial" w:cs="Arial"/>
          <w:color w:val="000000"/>
          <w:sz w:val="18"/>
        </w:rPr>
        <w:t> </w:t>
      </w:r>
      <w:r w:rsidRPr="00CF6198">
        <w:rPr>
          <w:rFonts w:ascii="Arial" w:eastAsia="Times New Roman" w:hAnsi="Arial" w:cs="Arial"/>
          <w:color w:val="000000"/>
          <w:sz w:val="18"/>
          <w:szCs w:val="18"/>
        </w:rPr>
        <w:t xml:space="preserve">(London: Atlantic Highlands, NJ, </w:t>
      </w:r>
      <w:proofErr w:type="spellStart"/>
      <w:r w:rsidRPr="00CF6198">
        <w:rPr>
          <w:rFonts w:ascii="Arial" w:eastAsia="Times New Roman" w:hAnsi="Arial" w:cs="Arial"/>
          <w:color w:val="000000"/>
          <w:sz w:val="18"/>
          <w:szCs w:val="18"/>
        </w:rPr>
        <w:t>Athlone</w:t>
      </w:r>
      <w:proofErr w:type="spellEnd"/>
      <w:r w:rsidRPr="00CF6198">
        <w:rPr>
          <w:rFonts w:ascii="Arial" w:eastAsia="Times New Roman" w:hAnsi="Arial" w:cs="Arial"/>
          <w:color w:val="000000"/>
          <w:sz w:val="18"/>
          <w:szCs w:val="18"/>
        </w:rPr>
        <w:t xml:space="preserve"> Press, 2001).</w:t>
      </w:r>
    </w:p>
    <w:bookmarkStart w:id="27" w:name="_ftn4"/>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"_ftnref4"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[4]</w:t>
      </w:r>
      <w:r w:rsidRPr="00CF6198">
        <w:rPr>
          <w:rFonts w:ascii="Arial" w:eastAsia="Times New Roman" w:hAnsi="Arial" w:cs="Arial"/>
          <w:color w:val="000000"/>
          <w:sz w:val="18"/>
          <w:szCs w:val="18"/>
        </w:rPr>
        <w:fldChar w:fldCharType="end"/>
      </w:r>
      <w:bookmarkEnd w:id="27"/>
      <w:r w:rsidRPr="00CF6198">
        <w:rPr>
          <w:rFonts w:ascii="Arial" w:eastAsia="Times New Roman" w:hAnsi="Arial" w:cs="Arial"/>
          <w:color w:val="000000"/>
          <w:sz w:val="18"/>
        </w:rPr>
        <w:t> </w:t>
      </w:r>
      <w:r w:rsidRPr="00CF6198">
        <w:rPr>
          <w:rFonts w:ascii="Arial" w:eastAsia="Times New Roman" w:hAnsi="Arial" w:cs="Arial"/>
          <w:color w:val="000000"/>
          <w:sz w:val="18"/>
          <w:szCs w:val="18"/>
        </w:rPr>
        <w:t>Nissan Motor Company,</w:t>
      </w:r>
      <w:r w:rsidRPr="00CF6198">
        <w:rPr>
          <w:rFonts w:ascii="Arial" w:eastAsia="Times New Roman" w:hAnsi="Arial" w:cs="Arial"/>
          <w:color w:val="000000"/>
          <w:sz w:val="18"/>
        </w:rPr>
        <w:t> </w:t>
      </w:r>
      <w:r w:rsidRPr="00CF6198">
        <w:rPr>
          <w:rFonts w:ascii="Arial" w:eastAsia="Times New Roman" w:hAnsi="Arial" w:cs="Arial"/>
          <w:color w:val="0000FF"/>
          <w:sz w:val="18"/>
          <w:szCs w:val="18"/>
          <w:u w:val="single"/>
        </w:rPr>
        <w:t>http://www.nissan-global.com/en/history/</w:t>
      </w:r>
      <w:r w:rsidRPr="00CF6198">
        <w:rPr>
          <w:rFonts w:ascii="Arial" w:eastAsia="Times New Roman" w:hAnsi="Arial" w:cs="Arial"/>
          <w:color w:val="000000"/>
          <w:sz w:val="18"/>
          <w:szCs w:val="18"/>
        </w:rPr>
        <w:t>, accessed August 3, 2012.</w:t>
      </w:r>
    </w:p>
    <w:bookmarkStart w:id="28" w:name="_ftn5"/>
    <w:p w:rsidR="00CF6198" w:rsidRPr="00CF6198" w:rsidRDefault="00CF6198" w:rsidP="00CF6198">
      <w:pPr>
        <w:spacing w:after="0" w:line="256"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"_ftnref5"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[5]</w:t>
      </w:r>
      <w:r w:rsidRPr="00CF6198">
        <w:rPr>
          <w:rFonts w:ascii="Arial" w:eastAsia="Times New Roman" w:hAnsi="Arial" w:cs="Arial"/>
          <w:color w:val="000000"/>
          <w:sz w:val="18"/>
          <w:szCs w:val="18"/>
        </w:rPr>
        <w:fldChar w:fldCharType="end"/>
      </w:r>
      <w:bookmarkEnd w:id="28"/>
      <w:r w:rsidRPr="00CF6198">
        <w:rPr>
          <w:rFonts w:ascii="Arial" w:eastAsia="Times New Roman" w:hAnsi="Arial" w:cs="Arial"/>
          <w:color w:val="000000"/>
          <w:sz w:val="18"/>
        </w:rPr>
        <w:t> </w:t>
      </w:r>
      <w:r w:rsidRPr="00CF6198">
        <w:rPr>
          <w:rFonts w:ascii="Arial" w:eastAsia="Times New Roman" w:hAnsi="Arial" w:cs="Arial"/>
          <w:color w:val="000000"/>
          <w:sz w:val="18"/>
          <w:szCs w:val="18"/>
        </w:rPr>
        <w:t xml:space="preserve">Michael A. </w:t>
      </w:r>
      <w:proofErr w:type="spellStart"/>
      <w:r w:rsidRPr="00CF6198">
        <w:rPr>
          <w:rFonts w:ascii="Arial" w:eastAsia="Times New Roman" w:hAnsi="Arial" w:cs="Arial"/>
          <w:color w:val="000000"/>
          <w:sz w:val="18"/>
          <w:szCs w:val="18"/>
        </w:rPr>
        <w:t>Cusumano</w:t>
      </w:r>
      <w:proofErr w:type="spellEnd"/>
      <w:r w:rsidRPr="00CF6198">
        <w:rPr>
          <w:rFonts w:ascii="Arial" w:eastAsia="Times New Roman" w:hAnsi="Arial" w:cs="Arial"/>
          <w:color w:val="000000"/>
          <w:sz w:val="18"/>
          <w:szCs w:val="18"/>
        </w:rPr>
        <w:t>,</w:t>
      </w:r>
      <w:r w:rsidRPr="00CF6198">
        <w:rPr>
          <w:rFonts w:ascii="Arial" w:eastAsia="Times New Roman" w:hAnsi="Arial" w:cs="Arial"/>
          <w:color w:val="000000"/>
          <w:sz w:val="18"/>
        </w:rPr>
        <w:t> </w:t>
      </w:r>
      <w:r w:rsidRPr="00CF6198">
        <w:rPr>
          <w:rFonts w:ascii="Arial" w:eastAsia="Times New Roman" w:hAnsi="Arial" w:cs="Arial"/>
          <w:i/>
          <w:iCs/>
          <w:color w:val="000000"/>
          <w:sz w:val="18"/>
        </w:rPr>
        <w:t xml:space="preserve">The Japanese Automobile Industry: Technology and Management at Nissan and </w:t>
      </w:r>
      <w:proofErr w:type="gramStart"/>
      <w:r w:rsidRPr="00CF6198">
        <w:rPr>
          <w:rFonts w:ascii="Arial" w:eastAsia="Times New Roman" w:hAnsi="Arial" w:cs="Arial"/>
          <w:i/>
          <w:iCs/>
          <w:color w:val="000000"/>
          <w:sz w:val="18"/>
        </w:rPr>
        <w:t>Toyota</w:t>
      </w:r>
      <w:r w:rsidRPr="00CF6198">
        <w:rPr>
          <w:rFonts w:ascii="Arial" w:eastAsia="Times New Roman" w:hAnsi="Arial" w:cs="Arial"/>
          <w:color w:val="000000"/>
          <w:sz w:val="18"/>
          <w:szCs w:val="18"/>
        </w:rPr>
        <w:t>(</w:t>
      </w:r>
      <w:proofErr w:type="gramEnd"/>
      <w:r w:rsidRPr="00CF6198">
        <w:rPr>
          <w:rFonts w:ascii="Arial" w:eastAsia="Times New Roman" w:hAnsi="Arial" w:cs="Arial"/>
          <w:color w:val="000000"/>
          <w:sz w:val="18"/>
          <w:szCs w:val="18"/>
        </w:rPr>
        <w:t>Cambridge, MA., Published by the Council on East Asian Studies, Harvard University, 1985).</w:t>
      </w:r>
    </w:p>
    <w:bookmarkStart w:id="29" w:name="_ftn6"/>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"_ftnref6"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[6]</w:t>
      </w:r>
      <w:r w:rsidRPr="00CF6198">
        <w:rPr>
          <w:rFonts w:ascii="Arial" w:eastAsia="Times New Roman" w:hAnsi="Arial" w:cs="Arial"/>
          <w:color w:val="000000"/>
          <w:sz w:val="18"/>
          <w:szCs w:val="18"/>
        </w:rPr>
        <w:fldChar w:fldCharType="end"/>
      </w:r>
      <w:bookmarkEnd w:id="29"/>
      <w:r w:rsidRPr="00CF6198">
        <w:rPr>
          <w:rFonts w:ascii="Arial" w:eastAsia="Times New Roman" w:hAnsi="Arial" w:cs="Arial"/>
          <w:color w:val="000000"/>
          <w:sz w:val="18"/>
        </w:rPr>
        <w:t> </w:t>
      </w:r>
      <w:r w:rsidRPr="00CF6198">
        <w:rPr>
          <w:rFonts w:ascii="Arial" w:eastAsia="Times New Roman" w:hAnsi="Arial" w:cs="Arial"/>
          <w:color w:val="000000"/>
          <w:sz w:val="18"/>
          <w:szCs w:val="18"/>
        </w:rPr>
        <w:t>Ibid.</w:t>
      </w:r>
    </w:p>
    <w:bookmarkStart w:id="30" w:name="_ftn7"/>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"_ftnref7"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[7]</w:t>
      </w:r>
      <w:r w:rsidRPr="00CF6198">
        <w:rPr>
          <w:rFonts w:ascii="Arial" w:eastAsia="Times New Roman" w:hAnsi="Arial" w:cs="Arial"/>
          <w:color w:val="000000"/>
          <w:sz w:val="18"/>
          <w:szCs w:val="18"/>
        </w:rPr>
        <w:fldChar w:fldCharType="end"/>
      </w:r>
      <w:bookmarkEnd w:id="30"/>
      <w:r w:rsidRPr="00CF6198">
        <w:rPr>
          <w:rFonts w:ascii="Arial" w:eastAsia="Times New Roman" w:hAnsi="Arial" w:cs="Arial"/>
          <w:color w:val="000000"/>
          <w:sz w:val="18"/>
        </w:rPr>
        <w:t> </w:t>
      </w:r>
      <w:r w:rsidRPr="00CF6198">
        <w:rPr>
          <w:rFonts w:ascii="Arial" w:eastAsia="Times New Roman" w:hAnsi="Arial" w:cs="Arial"/>
          <w:color w:val="000000"/>
          <w:sz w:val="18"/>
          <w:szCs w:val="18"/>
        </w:rPr>
        <w:t>Ibid.</w:t>
      </w:r>
    </w:p>
    <w:bookmarkStart w:id="31" w:name="_ftn8"/>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"_ftnref8"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[8]</w:t>
      </w:r>
      <w:r w:rsidRPr="00CF6198">
        <w:rPr>
          <w:rFonts w:ascii="Arial" w:eastAsia="Times New Roman" w:hAnsi="Arial" w:cs="Arial"/>
          <w:color w:val="000000"/>
          <w:sz w:val="18"/>
          <w:szCs w:val="18"/>
        </w:rPr>
        <w:fldChar w:fldCharType="end"/>
      </w:r>
      <w:bookmarkEnd w:id="31"/>
      <w:r w:rsidRPr="00CF6198">
        <w:rPr>
          <w:rFonts w:ascii="Arial" w:eastAsia="Times New Roman" w:hAnsi="Arial" w:cs="Arial"/>
          <w:color w:val="000000"/>
          <w:sz w:val="18"/>
        </w:rPr>
        <w:t> </w:t>
      </w:r>
      <w:r w:rsidRPr="00CF6198">
        <w:rPr>
          <w:rFonts w:ascii="Arial" w:eastAsia="Times New Roman" w:hAnsi="Arial" w:cs="Arial"/>
          <w:color w:val="000000"/>
          <w:sz w:val="18"/>
          <w:szCs w:val="18"/>
        </w:rPr>
        <w:t>Ibid.</w:t>
      </w:r>
    </w:p>
    <w:bookmarkStart w:id="32" w:name="_ftn9"/>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"_ftnref9"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[9]</w:t>
      </w:r>
      <w:r w:rsidRPr="00CF6198">
        <w:rPr>
          <w:rFonts w:ascii="Arial" w:eastAsia="Times New Roman" w:hAnsi="Arial" w:cs="Arial"/>
          <w:color w:val="000000"/>
          <w:sz w:val="18"/>
          <w:szCs w:val="18"/>
        </w:rPr>
        <w:fldChar w:fldCharType="end"/>
      </w:r>
      <w:bookmarkEnd w:id="32"/>
      <w:r w:rsidRPr="00CF6198">
        <w:rPr>
          <w:rFonts w:ascii="Arial" w:eastAsia="Times New Roman" w:hAnsi="Arial" w:cs="Arial"/>
          <w:color w:val="000000"/>
          <w:sz w:val="18"/>
        </w:rPr>
        <w:t> </w:t>
      </w:r>
      <w:r w:rsidRPr="00CF6198">
        <w:rPr>
          <w:rFonts w:ascii="Arial" w:eastAsia="Times New Roman" w:hAnsi="Arial" w:cs="Arial"/>
          <w:color w:val="000000"/>
          <w:sz w:val="18"/>
          <w:szCs w:val="18"/>
        </w:rPr>
        <w:t>Ibid.</w:t>
      </w:r>
    </w:p>
    <w:bookmarkStart w:id="33" w:name="_ftn10"/>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"_ftnref10"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[10]</w:t>
      </w:r>
      <w:r w:rsidRPr="00CF6198">
        <w:rPr>
          <w:rFonts w:ascii="Arial" w:eastAsia="Times New Roman" w:hAnsi="Arial" w:cs="Arial"/>
          <w:color w:val="000000"/>
          <w:sz w:val="18"/>
          <w:szCs w:val="18"/>
        </w:rPr>
        <w:fldChar w:fldCharType="end"/>
      </w:r>
      <w:bookmarkEnd w:id="33"/>
      <w:r w:rsidRPr="00CF6198">
        <w:rPr>
          <w:rFonts w:ascii="Arial" w:eastAsia="Times New Roman" w:hAnsi="Arial" w:cs="Arial"/>
          <w:color w:val="000000"/>
          <w:sz w:val="18"/>
        </w:rPr>
        <w:t> </w:t>
      </w:r>
      <w:r w:rsidRPr="00CF6198">
        <w:rPr>
          <w:rFonts w:ascii="Arial" w:eastAsia="Times New Roman" w:hAnsi="Arial" w:cs="Arial"/>
          <w:color w:val="000000"/>
          <w:sz w:val="18"/>
          <w:szCs w:val="18"/>
        </w:rPr>
        <w:t>Ibid.</w:t>
      </w:r>
    </w:p>
    <w:bookmarkStart w:id="34" w:name="_ftn11"/>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"_ftnref11"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[11]</w:t>
      </w:r>
      <w:r w:rsidRPr="00CF6198">
        <w:rPr>
          <w:rFonts w:ascii="Arial" w:eastAsia="Times New Roman" w:hAnsi="Arial" w:cs="Arial"/>
          <w:color w:val="000000"/>
          <w:sz w:val="18"/>
          <w:szCs w:val="18"/>
        </w:rPr>
        <w:fldChar w:fldCharType="end"/>
      </w:r>
      <w:bookmarkEnd w:id="34"/>
      <w:r w:rsidRPr="00CF6198">
        <w:rPr>
          <w:rFonts w:ascii="Arial" w:eastAsia="Times New Roman" w:hAnsi="Arial" w:cs="Arial"/>
          <w:color w:val="000000"/>
          <w:sz w:val="18"/>
        </w:rPr>
        <w:t> </w:t>
      </w:r>
      <w:r w:rsidRPr="00CF6198">
        <w:rPr>
          <w:rFonts w:ascii="Arial" w:eastAsia="Times New Roman" w:hAnsi="Arial" w:cs="Arial"/>
          <w:color w:val="000000"/>
          <w:sz w:val="18"/>
          <w:szCs w:val="18"/>
        </w:rPr>
        <w:t>Interview with John Martin, February 25, 2012.</w:t>
      </w:r>
    </w:p>
    <w:bookmarkStart w:id="35" w:name="_ftn12"/>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"_ftnref12"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[12]</w:t>
      </w:r>
      <w:r w:rsidRPr="00CF6198">
        <w:rPr>
          <w:rFonts w:ascii="Arial" w:eastAsia="Times New Roman" w:hAnsi="Arial" w:cs="Arial"/>
          <w:color w:val="000000"/>
          <w:sz w:val="18"/>
          <w:szCs w:val="18"/>
        </w:rPr>
        <w:fldChar w:fldCharType="end"/>
      </w:r>
      <w:bookmarkEnd w:id="35"/>
      <w:r w:rsidRPr="00CF6198">
        <w:rPr>
          <w:rFonts w:ascii="Arial" w:eastAsia="Times New Roman" w:hAnsi="Arial" w:cs="Arial"/>
          <w:color w:val="000000"/>
          <w:sz w:val="18"/>
        </w:rPr>
        <w:t> </w:t>
      </w:r>
      <w:r w:rsidRPr="00CF6198">
        <w:rPr>
          <w:rFonts w:ascii="Arial" w:eastAsia="Times New Roman" w:hAnsi="Arial" w:cs="Arial"/>
          <w:color w:val="000000"/>
          <w:sz w:val="18"/>
          <w:szCs w:val="18"/>
        </w:rPr>
        <w:t>Interview with John Martin, May 28, 2012.</w:t>
      </w:r>
    </w:p>
    <w:bookmarkStart w:id="36" w:name="_ftn13"/>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"_ftnref13"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[13]</w:t>
      </w:r>
      <w:r w:rsidRPr="00CF6198">
        <w:rPr>
          <w:rFonts w:ascii="Arial" w:eastAsia="Times New Roman" w:hAnsi="Arial" w:cs="Arial"/>
          <w:color w:val="000000"/>
          <w:sz w:val="18"/>
          <w:szCs w:val="18"/>
        </w:rPr>
        <w:fldChar w:fldCharType="end"/>
      </w:r>
      <w:bookmarkEnd w:id="36"/>
      <w:r w:rsidRPr="00CF6198">
        <w:rPr>
          <w:rFonts w:ascii="Arial" w:eastAsia="Times New Roman" w:hAnsi="Arial" w:cs="Arial"/>
          <w:color w:val="000000"/>
          <w:sz w:val="18"/>
        </w:rPr>
        <w:t> </w:t>
      </w:r>
      <w:r w:rsidRPr="00CF6198">
        <w:rPr>
          <w:rFonts w:ascii="Arial" w:eastAsia="Times New Roman" w:hAnsi="Arial" w:cs="Arial"/>
          <w:color w:val="000000"/>
          <w:sz w:val="18"/>
          <w:szCs w:val="18"/>
        </w:rPr>
        <w:t>At the time of the crisis John Martin served as Corporate Vice President for Nissan’s Global Supply Chain division in Japan.</w:t>
      </w:r>
    </w:p>
    <w:bookmarkStart w:id="37" w:name="_ftn14"/>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"_ftnref14"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[14]</w:t>
      </w:r>
      <w:r w:rsidRPr="00CF6198">
        <w:rPr>
          <w:rFonts w:ascii="Arial" w:eastAsia="Times New Roman" w:hAnsi="Arial" w:cs="Arial"/>
          <w:color w:val="000000"/>
          <w:sz w:val="18"/>
          <w:szCs w:val="18"/>
        </w:rPr>
        <w:fldChar w:fldCharType="end"/>
      </w:r>
      <w:bookmarkEnd w:id="37"/>
      <w:r w:rsidRPr="00CF6198">
        <w:rPr>
          <w:rFonts w:ascii="Arial" w:eastAsia="Times New Roman" w:hAnsi="Arial" w:cs="Arial"/>
          <w:color w:val="000000"/>
          <w:sz w:val="18"/>
        </w:rPr>
        <w:t> </w:t>
      </w:r>
      <w:r w:rsidRPr="00CF6198">
        <w:rPr>
          <w:rFonts w:ascii="Arial" w:eastAsia="Times New Roman" w:hAnsi="Arial" w:cs="Arial"/>
          <w:color w:val="000000"/>
          <w:sz w:val="18"/>
          <w:szCs w:val="18"/>
        </w:rPr>
        <w:t>Nissan eventually bought a 15% stake in Renault. Renault has subsequently increased its stake in Nissan to 44.4%.</w:t>
      </w:r>
    </w:p>
    <w:bookmarkStart w:id="38" w:name="_ftn15"/>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"_ftnref15"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[15]</w:t>
      </w:r>
      <w:r w:rsidRPr="00CF6198">
        <w:rPr>
          <w:rFonts w:ascii="Arial" w:eastAsia="Times New Roman" w:hAnsi="Arial" w:cs="Arial"/>
          <w:color w:val="000000"/>
          <w:sz w:val="18"/>
          <w:szCs w:val="18"/>
        </w:rPr>
        <w:fldChar w:fldCharType="end"/>
      </w:r>
      <w:bookmarkEnd w:id="38"/>
      <w:r w:rsidRPr="00CF6198">
        <w:rPr>
          <w:rFonts w:ascii="Arial" w:eastAsia="Times New Roman" w:hAnsi="Arial" w:cs="Arial"/>
          <w:color w:val="000000"/>
          <w:sz w:val="18"/>
        </w:rPr>
        <w:t> </w:t>
      </w:r>
      <w:r w:rsidRPr="00CF6198">
        <w:rPr>
          <w:rFonts w:ascii="Arial" w:eastAsia="Times New Roman" w:hAnsi="Arial" w:cs="Arial"/>
          <w:color w:val="000000"/>
          <w:sz w:val="18"/>
          <w:szCs w:val="18"/>
        </w:rPr>
        <w:t>Nissan 2011 Annual Report.</w:t>
      </w:r>
    </w:p>
    <w:bookmarkStart w:id="39" w:name="_ftn16"/>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"_ftnref16"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[16]</w:t>
      </w:r>
      <w:r w:rsidRPr="00CF6198">
        <w:rPr>
          <w:rFonts w:ascii="Arial" w:eastAsia="Times New Roman" w:hAnsi="Arial" w:cs="Arial"/>
          <w:color w:val="000000"/>
          <w:sz w:val="18"/>
          <w:szCs w:val="18"/>
        </w:rPr>
        <w:fldChar w:fldCharType="end"/>
      </w:r>
      <w:bookmarkEnd w:id="39"/>
      <w:r w:rsidRPr="00CF6198">
        <w:rPr>
          <w:rFonts w:ascii="Arial" w:eastAsia="Times New Roman" w:hAnsi="Arial" w:cs="Arial"/>
          <w:color w:val="000000"/>
          <w:sz w:val="18"/>
        </w:rPr>
        <w:t> </w:t>
      </w:r>
      <w:r w:rsidRPr="00CF6198">
        <w:rPr>
          <w:rFonts w:ascii="Arial" w:eastAsia="Times New Roman" w:hAnsi="Arial" w:cs="Arial"/>
          <w:color w:val="000000"/>
          <w:sz w:val="18"/>
          <w:szCs w:val="18"/>
        </w:rPr>
        <w:t>While similar response plans may have been in place at Honda and Toyota, neither organization provided visibility of them in their annual reports.</w:t>
      </w:r>
    </w:p>
    <w:bookmarkStart w:id="40" w:name="_ftn17"/>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"_ftnref17"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[17]</w:t>
      </w:r>
      <w:r w:rsidRPr="00CF6198">
        <w:rPr>
          <w:rFonts w:ascii="Arial" w:eastAsia="Times New Roman" w:hAnsi="Arial" w:cs="Arial"/>
          <w:color w:val="000000"/>
          <w:sz w:val="18"/>
          <w:szCs w:val="18"/>
        </w:rPr>
        <w:fldChar w:fldCharType="end"/>
      </w:r>
      <w:bookmarkEnd w:id="40"/>
      <w:r w:rsidRPr="00CF6198">
        <w:rPr>
          <w:rFonts w:ascii="Arial" w:eastAsia="Times New Roman" w:hAnsi="Arial" w:cs="Arial"/>
          <w:color w:val="000000"/>
          <w:sz w:val="18"/>
        </w:rPr>
        <w:t> </w:t>
      </w:r>
      <w:r w:rsidRPr="00CF6198">
        <w:rPr>
          <w:rFonts w:ascii="Arial" w:eastAsia="Times New Roman" w:hAnsi="Arial" w:cs="Arial"/>
          <w:color w:val="000000"/>
          <w:sz w:val="18"/>
          <w:szCs w:val="18"/>
        </w:rPr>
        <w:t>Ibid.</w:t>
      </w:r>
    </w:p>
    <w:bookmarkStart w:id="41" w:name="_ftn18"/>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"_ftnref18"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[18]</w:t>
      </w:r>
      <w:r w:rsidRPr="00CF6198">
        <w:rPr>
          <w:rFonts w:ascii="Arial" w:eastAsia="Times New Roman" w:hAnsi="Arial" w:cs="Arial"/>
          <w:color w:val="000000"/>
          <w:sz w:val="18"/>
          <w:szCs w:val="18"/>
        </w:rPr>
        <w:fldChar w:fldCharType="end"/>
      </w:r>
      <w:bookmarkEnd w:id="41"/>
      <w:r w:rsidRPr="00CF6198">
        <w:rPr>
          <w:rFonts w:ascii="Arial" w:eastAsia="Times New Roman" w:hAnsi="Arial" w:cs="Arial"/>
          <w:color w:val="000000"/>
          <w:sz w:val="18"/>
        </w:rPr>
        <w:t> </w:t>
      </w:r>
      <w:r w:rsidRPr="00CF6198">
        <w:rPr>
          <w:rFonts w:ascii="Arial" w:eastAsia="Times New Roman" w:hAnsi="Arial" w:cs="Arial"/>
          <w:color w:val="000000"/>
          <w:sz w:val="18"/>
          <w:szCs w:val="18"/>
        </w:rPr>
        <w:t>“Japan Production by Month, 2005-2011,”</w:t>
      </w:r>
      <w:r w:rsidRPr="00CF6198">
        <w:rPr>
          <w:rFonts w:ascii="Arial" w:eastAsia="Times New Roman" w:hAnsi="Arial" w:cs="Arial"/>
          <w:color w:val="000000"/>
          <w:sz w:val="18"/>
        </w:rPr>
        <w:t> </w:t>
      </w:r>
      <w:proofErr w:type="spellStart"/>
      <w:r w:rsidRPr="00CF6198">
        <w:rPr>
          <w:rFonts w:ascii="Arial" w:eastAsia="Times New Roman" w:hAnsi="Arial" w:cs="Arial"/>
          <w:i/>
          <w:iCs/>
          <w:color w:val="000000"/>
          <w:sz w:val="18"/>
        </w:rPr>
        <w:t>WardsAuto</w:t>
      </w:r>
      <w:proofErr w:type="spellEnd"/>
      <w:r w:rsidRPr="00CF6198">
        <w:rPr>
          <w:rFonts w:ascii="Arial" w:eastAsia="Times New Roman" w:hAnsi="Arial" w:cs="Arial"/>
          <w:i/>
          <w:iCs/>
          <w:color w:val="000000"/>
          <w:sz w:val="18"/>
        </w:rPr>
        <w:t xml:space="preserve"> Group</w:t>
      </w:r>
      <w:r w:rsidRPr="00CF6198">
        <w:rPr>
          <w:rFonts w:ascii="Arial" w:eastAsia="Times New Roman" w:hAnsi="Arial" w:cs="Arial"/>
          <w:color w:val="000000"/>
          <w:sz w:val="18"/>
          <w:szCs w:val="18"/>
        </w:rPr>
        <w:t>, 2012.</w:t>
      </w:r>
    </w:p>
    <w:bookmarkStart w:id="42" w:name="_ftn19"/>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"_ftnref19"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[19]</w:t>
      </w:r>
      <w:r w:rsidRPr="00CF6198">
        <w:rPr>
          <w:rFonts w:ascii="Arial" w:eastAsia="Times New Roman" w:hAnsi="Arial" w:cs="Arial"/>
          <w:color w:val="000000"/>
          <w:sz w:val="18"/>
          <w:szCs w:val="18"/>
        </w:rPr>
        <w:fldChar w:fldCharType="end"/>
      </w:r>
      <w:bookmarkEnd w:id="42"/>
      <w:r w:rsidRPr="00CF6198">
        <w:rPr>
          <w:rFonts w:ascii="Arial" w:eastAsia="Times New Roman" w:hAnsi="Arial" w:cs="Arial"/>
          <w:color w:val="000000"/>
          <w:sz w:val="18"/>
        </w:rPr>
        <w:t> </w:t>
      </w:r>
      <w:r w:rsidRPr="00CF6198">
        <w:rPr>
          <w:rFonts w:ascii="Arial" w:eastAsia="Times New Roman" w:hAnsi="Arial" w:cs="Arial"/>
          <w:color w:val="000000"/>
          <w:sz w:val="18"/>
          <w:szCs w:val="18"/>
        </w:rPr>
        <w:t>Q2 2012 Honda Motor Co Ltd Earnings Presentation.</w:t>
      </w:r>
    </w:p>
    <w:bookmarkStart w:id="43" w:name="_ftn20"/>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"_ftnref20"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[20]</w:t>
      </w:r>
      <w:r w:rsidRPr="00CF6198">
        <w:rPr>
          <w:rFonts w:ascii="Arial" w:eastAsia="Times New Roman" w:hAnsi="Arial" w:cs="Arial"/>
          <w:color w:val="000000"/>
          <w:sz w:val="18"/>
          <w:szCs w:val="18"/>
        </w:rPr>
        <w:fldChar w:fldCharType="end"/>
      </w:r>
      <w:bookmarkEnd w:id="43"/>
      <w:r w:rsidRPr="00CF6198">
        <w:rPr>
          <w:rFonts w:ascii="Arial" w:eastAsia="Times New Roman" w:hAnsi="Arial" w:cs="Arial"/>
          <w:color w:val="000000"/>
          <w:sz w:val="18"/>
        </w:rPr>
        <w:t> </w:t>
      </w:r>
      <w:r w:rsidRPr="00CF6198">
        <w:rPr>
          <w:rFonts w:ascii="Arial" w:eastAsia="Times New Roman" w:hAnsi="Arial" w:cs="Arial"/>
          <w:color w:val="000000"/>
          <w:sz w:val="18"/>
          <w:szCs w:val="18"/>
        </w:rPr>
        <w:t>Chester Dawson, “Nissan Aims to Boost North American Production,”</w:t>
      </w:r>
      <w:r w:rsidRPr="00CF6198">
        <w:rPr>
          <w:rFonts w:ascii="Arial" w:eastAsia="Times New Roman" w:hAnsi="Arial" w:cs="Arial"/>
          <w:color w:val="000000"/>
          <w:sz w:val="18"/>
        </w:rPr>
        <w:t> </w:t>
      </w:r>
      <w:r w:rsidRPr="00CF6198">
        <w:rPr>
          <w:rFonts w:ascii="Arial" w:eastAsia="Times New Roman" w:hAnsi="Arial" w:cs="Arial"/>
          <w:i/>
          <w:iCs/>
          <w:color w:val="000000"/>
          <w:sz w:val="18"/>
        </w:rPr>
        <w:t>The Wall Street Journal</w:t>
      </w:r>
      <w:r w:rsidRPr="00CF6198">
        <w:rPr>
          <w:rFonts w:ascii="Arial" w:eastAsia="Times New Roman" w:hAnsi="Arial" w:cs="Arial"/>
          <w:color w:val="000000"/>
          <w:sz w:val="18"/>
          <w:szCs w:val="18"/>
        </w:rPr>
        <w:t>, January 9, 2012.</w:t>
      </w:r>
    </w:p>
    <w:bookmarkStart w:id="44" w:name="_ftn21"/>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"_ftnref21"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[21]</w:t>
      </w:r>
      <w:r w:rsidRPr="00CF6198">
        <w:rPr>
          <w:rFonts w:ascii="Arial" w:eastAsia="Times New Roman" w:hAnsi="Arial" w:cs="Arial"/>
          <w:color w:val="000000"/>
          <w:sz w:val="18"/>
          <w:szCs w:val="18"/>
        </w:rPr>
        <w:fldChar w:fldCharType="end"/>
      </w:r>
      <w:bookmarkEnd w:id="44"/>
      <w:r w:rsidRPr="00CF6198">
        <w:rPr>
          <w:rFonts w:ascii="Arial" w:eastAsia="Times New Roman" w:hAnsi="Arial" w:cs="Arial"/>
          <w:color w:val="000000"/>
          <w:sz w:val="18"/>
        </w:rPr>
        <w:t> </w:t>
      </w:r>
      <w:r w:rsidRPr="00CF6198">
        <w:rPr>
          <w:rFonts w:ascii="Arial" w:eastAsia="Times New Roman" w:hAnsi="Arial" w:cs="Arial"/>
          <w:color w:val="000000"/>
          <w:sz w:val="18"/>
          <w:szCs w:val="18"/>
        </w:rPr>
        <w:t>Ibid.</w:t>
      </w:r>
    </w:p>
    <w:bookmarkStart w:id="45" w:name="_ftn22"/>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"_ftnref22"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[22]</w:t>
      </w:r>
      <w:r w:rsidRPr="00CF6198">
        <w:rPr>
          <w:rFonts w:ascii="Arial" w:eastAsia="Times New Roman" w:hAnsi="Arial" w:cs="Arial"/>
          <w:color w:val="000000"/>
          <w:sz w:val="18"/>
          <w:szCs w:val="18"/>
        </w:rPr>
        <w:fldChar w:fldCharType="end"/>
      </w:r>
      <w:bookmarkEnd w:id="45"/>
      <w:r w:rsidRPr="00CF6198">
        <w:rPr>
          <w:rFonts w:ascii="Arial" w:eastAsia="Times New Roman" w:hAnsi="Arial" w:cs="Arial"/>
          <w:color w:val="000000"/>
          <w:sz w:val="18"/>
        </w:rPr>
        <w:t> </w:t>
      </w:r>
      <w:r w:rsidRPr="00CF6198">
        <w:rPr>
          <w:rFonts w:ascii="Arial" w:eastAsia="Times New Roman" w:hAnsi="Arial" w:cs="Arial"/>
          <w:color w:val="000000"/>
          <w:sz w:val="18"/>
          <w:szCs w:val="18"/>
        </w:rPr>
        <w:t>Ibid.</w:t>
      </w:r>
    </w:p>
    <w:bookmarkStart w:id="46" w:name="_ftn23"/>
    <w:p w:rsidR="00CF6198" w:rsidRPr="00CF6198" w:rsidRDefault="00CF6198" w:rsidP="00CF6198">
      <w:pPr>
        <w:spacing w:after="0" w:line="270" w:lineRule="atLeast"/>
        <w:rPr>
          <w:rFonts w:ascii="Arial" w:eastAsia="Times New Roman" w:hAnsi="Arial" w:cs="Arial"/>
          <w:color w:val="000000"/>
          <w:sz w:val="18"/>
          <w:szCs w:val="18"/>
        </w:rPr>
      </w:pPr>
      <w:r w:rsidRPr="00CF6198">
        <w:rPr>
          <w:rFonts w:ascii="Arial" w:eastAsia="Times New Roman" w:hAnsi="Arial" w:cs="Arial"/>
          <w:color w:val="000000"/>
          <w:sz w:val="18"/>
          <w:szCs w:val="18"/>
        </w:rPr>
        <w:fldChar w:fldCharType="begin"/>
      </w:r>
      <w:r w:rsidRPr="00CF6198">
        <w:rPr>
          <w:rFonts w:ascii="Arial" w:eastAsia="Times New Roman" w:hAnsi="Arial" w:cs="Arial"/>
          <w:color w:val="000000"/>
          <w:sz w:val="18"/>
          <w:szCs w:val="18"/>
        </w:rPr>
        <w:instrText xml:space="preserve"> HYPERLINK "file:///C:\\Users\\Scott%20PC\\Downloads\\1459369_1_13-149-Nissan.Simchi-Levi.pdf" \l "_ftnref23" \o "" </w:instrText>
      </w:r>
      <w:r w:rsidRPr="00CF6198">
        <w:rPr>
          <w:rFonts w:ascii="Arial" w:eastAsia="Times New Roman" w:hAnsi="Arial" w:cs="Arial"/>
          <w:color w:val="000000"/>
          <w:sz w:val="18"/>
          <w:szCs w:val="18"/>
        </w:rPr>
        <w:fldChar w:fldCharType="separate"/>
      </w:r>
      <w:r w:rsidRPr="00CF6198">
        <w:rPr>
          <w:rFonts w:ascii="Arial" w:eastAsia="Times New Roman" w:hAnsi="Arial" w:cs="Arial"/>
          <w:color w:val="0092DE"/>
          <w:sz w:val="14"/>
        </w:rPr>
        <w:t>[23]</w:t>
      </w:r>
      <w:r w:rsidRPr="00CF6198">
        <w:rPr>
          <w:rFonts w:ascii="Arial" w:eastAsia="Times New Roman" w:hAnsi="Arial" w:cs="Arial"/>
          <w:color w:val="000000"/>
          <w:sz w:val="18"/>
          <w:szCs w:val="18"/>
        </w:rPr>
        <w:fldChar w:fldCharType="end"/>
      </w:r>
      <w:bookmarkEnd w:id="46"/>
      <w:r w:rsidRPr="00CF6198">
        <w:rPr>
          <w:rFonts w:ascii="Arial" w:eastAsia="Times New Roman" w:hAnsi="Arial" w:cs="Arial"/>
          <w:color w:val="000000"/>
          <w:sz w:val="18"/>
        </w:rPr>
        <w:t> </w:t>
      </w:r>
      <w:r w:rsidRPr="00CF6198">
        <w:rPr>
          <w:rFonts w:ascii="Arial" w:eastAsia="Times New Roman" w:hAnsi="Arial" w:cs="Arial"/>
          <w:color w:val="000000"/>
          <w:sz w:val="18"/>
          <w:szCs w:val="18"/>
        </w:rPr>
        <w:t>Ibid. </w:t>
      </w:r>
    </w:p>
    <w:p w:rsidR="008F1C8B" w:rsidRPr="00CF6198" w:rsidRDefault="008F1C8B" w:rsidP="00CF6198"/>
    <w:sectPr w:rsidR="008F1C8B" w:rsidRPr="00CF6198" w:rsidSect="00F131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1C8B"/>
    <w:rsid w:val="001D4102"/>
    <w:rsid w:val="00260B02"/>
    <w:rsid w:val="00410D3B"/>
    <w:rsid w:val="005877B9"/>
    <w:rsid w:val="005B552B"/>
    <w:rsid w:val="005E56F6"/>
    <w:rsid w:val="006039ED"/>
    <w:rsid w:val="006C04C3"/>
    <w:rsid w:val="00711295"/>
    <w:rsid w:val="007B1A2F"/>
    <w:rsid w:val="007D6F49"/>
    <w:rsid w:val="00804481"/>
    <w:rsid w:val="00845E45"/>
    <w:rsid w:val="00877FBD"/>
    <w:rsid w:val="00884456"/>
    <w:rsid w:val="00893DCC"/>
    <w:rsid w:val="008C2D44"/>
    <w:rsid w:val="008F1C8B"/>
    <w:rsid w:val="009476F7"/>
    <w:rsid w:val="00AB5C75"/>
    <w:rsid w:val="00B45613"/>
    <w:rsid w:val="00B816F2"/>
    <w:rsid w:val="00C405E8"/>
    <w:rsid w:val="00CB6B81"/>
    <w:rsid w:val="00CF6198"/>
    <w:rsid w:val="00D418A6"/>
    <w:rsid w:val="00F0683B"/>
    <w:rsid w:val="00F131C6"/>
    <w:rsid w:val="00F61EC4"/>
    <w:rsid w:val="00F730F6"/>
    <w:rsid w:val="00F851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C6"/>
  </w:style>
  <w:style w:type="paragraph" w:styleId="Heading1">
    <w:name w:val="heading 1"/>
    <w:basedOn w:val="Normal"/>
    <w:link w:val="Heading1Char"/>
    <w:uiPriority w:val="9"/>
    <w:qFormat/>
    <w:rsid w:val="00CF61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61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1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6198"/>
    <w:rPr>
      <w:rFonts w:ascii="Times New Roman" w:eastAsia="Times New Roman" w:hAnsi="Times New Roman" w:cs="Times New Roman"/>
      <w:b/>
      <w:bCs/>
      <w:sz w:val="36"/>
      <w:szCs w:val="36"/>
    </w:rPr>
  </w:style>
  <w:style w:type="character" w:styleId="Strong">
    <w:name w:val="Strong"/>
    <w:basedOn w:val="DefaultParagraphFont"/>
    <w:uiPriority w:val="22"/>
    <w:qFormat/>
    <w:rsid w:val="00CF6198"/>
    <w:rPr>
      <w:b/>
      <w:bCs/>
    </w:rPr>
  </w:style>
  <w:style w:type="character" w:styleId="Emphasis">
    <w:name w:val="Emphasis"/>
    <w:basedOn w:val="DefaultParagraphFont"/>
    <w:uiPriority w:val="20"/>
    <w:qFormat/>
    <w:rsid w:val="00CF6198"/>
    <w:rPr>
      <w:i/>
      <w:iCs/>
    </w:rPr>
  </w:style>
  <w:style w:type="character" w:customStyle="1" w:styleId="apple-converted-space">
    <w:name w:val="apple-converted-space"/>
    <w:basedOn w:val="DefaultParagraphFont"/>
    <w:rsid w:val="00CF6198"/>
  </w:style>
  <w:style w:type="character" w:styleId="Hyperlink">
    <w:name w:val="Hyperlink"/>
    <w:basedOn w:val="DefaultParagraphFont"/>
    <w:uiPriority w:val="99"/>
    <w:semiHidden/>
    <w:unhideWhenUsed/>
    <w:rsid w:val="00CF6198"/>
    <w:rPr>
      <w:color w:val="0000FF"/>
      <w:u w:val="single"/>
    </w:rPr>
  </w:style>
  <w:style w:type="paragraph" w:customStyle="1" w:styleId="footnotedescription">
    <w:name w:val="footnotedescription"/>
    <w:basedOn w:val="Normal"/>
    <w:rsid w:val="00CF6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mark">
    <w:name w:val="footnotemark"/>
    <w:basedOn w:val="DefaultParagraphFont"/>
    <w:rsid w:val="00CF6198"/>
  </w:style>
</w:styles>
</file>

<file path=word/webSettings.xml><?xml version="1.0" encoding="utf-8"?>
<w:webSettings xmlns:r="http://schemas.openxmlformats.org/officeDocument/2006/relationships" xmlns:w="http://schemas.openxmlformats.org/wordprocessingml/2006/main">
  <w:divs>
    <w:div w:id="1612661008">
      <w:bodyDiv w:val="1"/>
      <w:marLeft w:val="0"/>
      <w:marRight w:val="0"/>
      <w:marTop w:val="0"/>
      <w:marBottom w:val="0"/>
      <w:divBdr>
        <w:top w:val="none" w:sz="0" w:space="0" w:color="auto"/>
        <w:left w:val="none" w:sz="0" w:space="0" w:color="auto"/>
        <w:bottom w:val="none" w:sz="0" w:space="0" w:color="auto"/>
        <w:right w:val="none" w:sz="0" w:space="0" w:color="auto"/>
      </w:divBdr>
      <w:divsChild>
        <w:div w:id="119298992">
          <w:marLeft w:val="0"/>
          <w:marRight w:val="0"/>
          <w:marTop w:val="0"/>
          <w:marBottom w:val="0"/>
          <w:divBdr>
            <w:top w:val="none" w:sz="0" w:space="0" w:color="auto"/>
            <w:left w:val="none" w:sz="0" w:space="0" w:color="auto"/>
            <w:bottom w:val="none" w:sz="0" w:space="0" w:color="auto"/>
            <w:right w:val="none" w:sz="0" w:space="0" w:color="auto"/>
          </w:divBdr>
        </w:div>
        <w:div w:id="57635363">
          <w:marLeft w:val="0"/>
          <w:marRight w:val="0"/>
          <w:marTop w:val="0"/>
          <w:marBottom w:val="0"/>
          <w:divBdr>
            <w:top w:val="none" w:sz="0" w:space="0" w:color="auto"/>
            <w:left w:val="none" w:sz="0" w:space="0" w:color="auto"/>
            <w:bottom w:val="none" w:sz="0" w:space="0" w:color="auto"/>
            <w:right w:val="none" w:sz="0" w:space="0" w:color="auto"/>
          </w:divBdr>
          <w:divsChild>
            <w:div w:id="41368886">
              <w:marLeft w:val="0"/>
              <w:marRight w:val="0"/>
              <w:marTop w:val="0"/>
              <w:marBottom w:val="0"/>
              <w:divBdr>
                <w:top w:val="none" w:sz="0" w:space="0" w:color="auto"/>
                <w:left w:val="none" w:sz="0" w:space="0" w:color="auto"/>
                <w:bottom w:val="none" w:sz="0" w:space="0" w:color="auto"/>
                <w:right w:val="none" w:sz="0" w:space="0" w:color="auto"/>
              </w:divBdr>
            </w:div>
            <w:div w:id="1636449500">
              <w:marLeft w:val="0"/>
              <w:marRight w:val="0"/>
              <w:marTop w:val="0"/>
              <w:marBottom w:val="0"/>
              <w:divBdr>
                <w:top w:val="none" w:sz="0" w:space="0" w:color="auto"/>
                <w:left w:val="none" w:sz="0" w:space="0" w:color="auto"/>
                <w:bottom w:val="none" w:sz="0" w:space="0" w:color="auto"/>
                <w:right w:val="none" w:sz="0" w:space="0" w:color="auto"/>
              </w:divBdr>
            </w:div>
            <w:div w:id="1559129564">
              <w:marLeft w:val="0"/>
              <w:marRight w:val="0"/>
              <w:marTop w:val="0"/>
              <w:marBottom w:val="0"/>
              <w:divBdr>
                <w:top w:val="none" w:sz="0" w:space="0" w:color="auto"/>
                <w:left w:val="none" w:sz="0" w:space="0" w:color="auto"/>
                <w:bottom w:val="none" w:sz="0" w:space="0" w:color="auto"/>
                <w:right w:val="none" w:sz="0" w:space="0" w:color="auto"/>
              </w:divBdr>
            </w:div>
            <w:div w:id="958679058">
              <w:marLeft w:val="0"/>
              <w:marRight w:val="0"/>
              <w:marTop w:val="0"/>
              <w:marBottom w:val="0"/>
              <w:divBdr>
                <w:top w:val="none" w:sz="0" w:space="0" w:color="auto"/>
                <w:left w:val="none" w:sz="0" w:space="0" w:color="auto"/>
                <w:bottom w:val="none" w:sz="0" w:space="0" w:color="auto"/>
                <w:right w:val="none" w:sz="0" w:space="0" w:color="auto"/>
              </w:divBdr>
            </w:div>
            <w:div w:id="1928225918">
              <w:marLeft w:val="0"/>
              <w:marRight w:val="0"/>
              <w:marTop w:val="0"/>
              <w:marBottom w:val="0"/>
              <w:divBdr>
                <w:top w:val="none" w:sz="0" w:space="0" w:color="auto"/>
                <w:left w:val="none" w:sz="0" w:space="0" w:color="auto"/>
                <w:bottom w:val="none" w:sz="0" w:space="0" w:color="auto"/>
                <w:right w:val="none" w:sz="0" w:space="0" w:color="auto"/>
              </w:divBdr>
            </w:div>
            <w:div w:id="1521356807">
              <w:marLeft w:val="0"/>
              <w:marRight w:val="0"/>
              <w:marTop w:val="0"/>
              <w:marBottom w:val="0"/>
              <w:divBdr>
                <w:top w:val="none" w:sz="0" w:space="0" w:color="auto"/>
                <w:left w:val="none" w:sz="0" w:space="0" w:color="auto"/>
                <w:bottom w:val="none" w:sz="0" w:space="0" w:color="auto"/>
                <w:right w:val="none" w:sz="0" w:space="0" w:color="auto"/>
              </w:divBdr>
            </w:div>
            <w:div w:id="2024234728">
              <w:marLeft w:val="0"/>
              <w:marRight w:val="0"/>
              <w:marTop w:val="0"/>
              <w:marBottom w:val="0"/>
              <w:divBdr>
                <w:top w:val="none" w:sz="0" w:space="0" w:color="auto"/>
                <w:left w:val="none" w:sz="0" w:space="0" w:color="auto"/>
                <w:bottom w:val="none" w:sz="0" w:space="0" w:color="auto"/>
                <w:right w:val="none" w:sz="0" w:space="0" w:color="auto"/>
              </w:divBdr>
            </w:div>
            <w:div w:id="214971129">
              <w:marLeft w:val="0"/>
              <w:marRight w:val="0"/>
              <w:marTop w:val="0"/>
              <w:marBottom w:val="0"/>
              <w:divBdr>
                <w:top w:val="none" w:sz="0" w:space="0" w:color="auto"/>
                <w:left w:val="none" w:sz="0" w:space="0" w:color="auto"/>
                <w:bottom w:val="none" w:sz="0" w:space="0" w:color="auto"/>
                <w:right w:val="none" w:sz="0" w:space="0" w:color="auto"/>
              </w:divBdr>
            </w:div>
            <w:div w:id="422461215">
              <w:marLeft w:val="0"/>
              <w:marRight w:val="0"/>
              <w:marTop w:val="0"/>
              <w:marBottom w:val="0"/>
              <w:divBdr>
                <w:top w:val="none" w:sz="0" w:space="0" w:color="auto"/>
                <w:left w:val="none" w:sz="0" w:space="0" w:color="auto"/>
                <w:bottom w:val="none" w:sz="0" w:space="0" w:color="auto"/>
                <w:right w:val="none" w:sz="0" w:space="0" w:color="auto"/>
              </w:divBdr>
            </w:div>
            <w:div w:id="284506587">
              <w:marLeft w:val="0"/>
              <w:marRight w:val="0"/>
              <w:marTop w:val="0"/>
              <w:marBottom w:val="0"/>
              <w:divBdr>
                <w:top w:val="none" w:sz="0" w:space="0" w:color="auto"/>
                <w:left w:val="none" w:sz="0" w:space="0" w:color="auto"/>
                <w:bottom w:val="none" w:sz="0" w:space="0" w:color="auto"/>
                <w:right w:val="none" w:sz="0" w:space="0" w:color="auto"/>
              </w:divBdr>
            </w:div>
            <w:div w:id="560021093">
              <w:marLeft w:val="0"/>
              <w:marRight w:val="0"/>
              <w:marTop w:val="0"/>
              <w:marBottom w:val="0"/>
              <w:divBdr>
                <w:top w:val="none" w:sz="0" w:space="0" w:color="auto"/>
                <w:left w:val="none" w:sz="0" w:space="0" w:color="auto"/>
                <w:bottom w:val="none" w:sz="0" w:space="0" w:color="auto"/>
                <w:right w:val="none" w:sz="0" w:space="0" w:color="auto"/>
              </w:divBdr>
            </w:div>
            <w:div w:id="1063868560">
              <w:marLeft w:val="0"/>
              <w:marRight w:val="0"/>
              <w:marTop w:val="0"/>
              <w:marBottom w:val="0"/>
              <w:divBdr>
                <w:top w:val="none" w:sz="0" w:space="0" w:color="auto"/>
                <w:left w:val="none" w:sz="0" w:space="0" w:color="auto"/>
                <w:bottom w:val="none" w:sz="0" w:space="0" w:color="auto"/>
                <w:right w:val="none" w:sz="0" w:space="0" w:color="auto"/>
              </w:divBdr>
            </w:div>
            <w:div w:id="580219403">
              <w:marLeft w:val="0"/>
              <w:marRight w:val="0"/>
              <w:marTop w:val="0"/>
              <w:marBottom w:val="0"/>
              <w:divBdr>
                <w:top w:val="none" w:sz="0" w:space="0" w:color="auto"/>
                <w:left w:val="none" w:sz="0" w:space="0" w:color="auto"/>
                <w:bottom w:val="none" w:sz="0" w:space="0" w:color="auto"/>
                <w:right w:val="none" w:sz="0" w:space="0" w:color="auto"/>
              </w:divBdr>
            </w:div>
            <w:div w:id="1135754028">
              <w:marLeft w:val="0"/>
              <w:marRight w:val="0"/>
              <w:marTop w:val="0"/>
              <w:marBottom w:val="0"/>
              <w:divBdr>
                <w:top w:val="none" w:sz="0" w:space="0" w:color="auto"/>
                <w:left w:val="none" w:sz="0" w:space="0" w:color="auto"/>
                <w:bottom w:val="none" w:sz="0" w:space="0" w:color="auto"/>
                <w:right w:val="none" w:sz="0" w:space="0" w:color="auto"/>
              </w:divBdr>
            </w:div>
            <w:div w:id="765613654">
              <w:marLeft w:val="0"/>
              <w:marRight w:val="0"/>
              <w:marTop w:val="0"/>
              <w:marBottom w:val="0"/>
              <w:divBdr>
                <w:top w:val="none" w:sz="0" w:space="0" w:color="auto"/>
                <w:left w:val="none" w:sz="0" w:space="0" w:color="auto"/>
                <w:bottom w:val="none" w:sz="0" w:space="0" w:color="auto"/>
                <w:right w:val="none" w:sz="0" w:space="0" w:color="auto"/>
              </w:divBdr>
            </w:div>
            <w:div w:id="1026639934">
              <w:marLeft w:val="0"/>
              <w:marRight w:val="0"/>
              <w:marTop w:val="0"/>
              <w:marBottom w:val="0"/>
              <w:divBdr>
                <w:top w:val="none" w:sz="0" w:space="0" w:color="auto"/>
                <w:left w:val="none" w:sz="0" w:space="0" w:color="auto"/>
                <w:bottom w:val="none" w:sz="0" w:space="0" w:color="auto"/>
                <w:right w:val="none" w:sz="0" w:space="0" w:color="auto"/>
              </w:divBdr>
            </w:div>
            <w:div w:id="557086425">
              <w:marLeft w:val="0"/>
              <w:marRight w:val="0"/>
              <w:marTop w:val="0"/>
              <w:marBottom w:val="0"/>
              <w:divBdr>
                <w:top w:val="none" w:sz="0" w:space="0" w:color="auto"/>
                <w:left w:val="none" w:sz="0" w:space="0" w:color="auto"/>
                <w:bottom w:val="none" w:sz="0" w:space="0" w:color="auto"/>
                <w:right w:val="none" w:sz="0" w:space="0" w:color="auto"/>
              </w:divBdr>
            </w:div>
            <w:div w:id="103381544">
              <w:marLeft w:val="0"/>
              <w:marRight w:val="0"/>
              <w:marTop w:val="0"/>
              <w:marBottom w:val="0"/>
              <w:divBdr>
                <w:top w:val="none" w:sz="0" w:space="0" w:color="auto"/>
                <w:left w:val="none" w:sz="0" w:space="0" w:color="auto"/>
                <w:bottom w:val="none" w:sz="0" w:space="0" w:color="auto"/>
                <w:right w:val="none" w:sz="0" w:space="0" w:color="auto"/>
              </w:divBdr>
            </w:div>
            <w:div w:id="1839884688">
              <w:marLeft w:val="0"/>
              <w:marRight w:val="0"/>
              <w:marTop w:val="0"/>
              <w:marBottom w:val="0"/>
              <w:divBdr>
                <w:top w:val="none" w:sz="0" w:space="0" w:color="auto"/>
                <w:left w:val="none" w:sz="0" w:space="0" w:color="auto"/>
                <w:bottom w:val="none" w:sz="0" w:space="0" w:color="auto"/>
                <w:right w:val="none" w:sz="0" w:space="0" w:color="auto"/>
              </w:divBdr>
            </w:div>
            <w:div w:id="1476215417">
              <w:marLeft w:val="0"/>
              <w:marRight w:val="0"/>
              <w:marTop w:val="0"/>
              <w:marBottom w:val="0"/>
              <w:divBdr>
                <w:top w:val="none" w:sz="0" w:space="0" w:color="auto"/>
                <w:left w:val="none" w:sz="0" w:space="0" w:color="auto"/>
                <w:bottom w:val="none" w:sz="0" w:space="0" w:color="auto"/>
                <w:right w:val="none" w:sz="0" w:space="0" w:color="auto"/>
              </w:divBdr>
            </w:div>
            <w:div w:id="817649666">
              <w:marLeft w:val="0"/>
              <w:marRight w:val="0"/>
              <w:marTop w:val="0"/>
              <w:marBottom w:val="0"/>
              <w:divBdr>
                <w:top w:val="none" w:sz="0" w:space="0" w:color="auto"/>
                <w:left w:val="none" w:sz="0" w:space="0" w:color="auto"/>
                <w:bottom w:val="none" w:sz="0" w:space="0" w:color="auto"/>
                <w:right w:val="none" w:sz="0" w:space="0" w:color="auto"/>
              </w:divBdr>
            </w:div>
            <w:div w:id="1826890374">
              <w:marLeft w:val="0"/>
              <w:marRight w:val="0"/>
              <w:marTop w:val="0"/>
              <w:marBottom w:val="0"/>
              <w:divBdr>
                <w:top w:val="none" w:sz="0" w:space="0" w:color="auto"/>
                <w:left w:val="none" w:sz="0" w:space="0" w:color="auto"/>
                <w:bottom w:val="none" w:sz="0" w:space="0" w:color="auto"/>
                <w:right w:val="none" w:sz="0" w:space="0" w:color="auto"/>
              </w:divBdr>
            </w:div>
            <w:div w:id="1490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4964</Words>
  <Characters>28299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Giriraj</dc:creator>
  <cp:lastModifiedBy>Giriraj</cp:lastModifiedBy>
  <cp:revision>2</cp:revision>
  <dcterms:created xsi:type="dcterms:W3CDTF">2016-08-01T12:42:00Z</dcterms:created>
  <dcterms:modified xsi:type="dcterms:W3CDTF">2016-08-01T12:42:00Z</dcterms:modified>
</cp:coreProperties>
</file>